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7E90" w14:textId="61DB85AB" w:rsidR="008D7B48" w:rsidRDefault="008D7B48" w:rsidP="001F41EA">
      <w:pPr>
        <w:jc w:val="center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Mind In Enfield and Barnet – Treasurer Role Description</w:t>
      </w:r>
    </w:p>
    <w:p w14:paraId="385D90B2" w14:textId="77777777" w:rsidR="00FC7A54" w:rsidRDefault="00FC7A54" w:rsidP="00564963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14:paraId="63BCFFDF" w14:textId="6E2132BF" w:rsidR="00736711" w:rsidRPr="00601F8B" w:rsidRDefault="00736711" w:rsidP="00736711">
      <w:pPr>
        <w:jc w:val="center"/>
        <w:rPr>
          <w:color w:val="2F5496" w:themeColor="accent1" w:themeShade="BF"/>
          <w:sz w:val="28"/>
          <w:szCs w:val="28"/>
        </w:rPr>
      </w:pPr>
      <w:r w:rsidRPr="00601F8B">
        <w:rPr>
          <w:color w:val="2F5496" w:themeColor="accent1" w:themeShade="BF"/>
          <w:sz w:val="28"/>
          <w:szCs w:val="28"/>
        </w:rPr>
        <w:t xml:space="preserve">Trustee Role Description </w:t>
      </w:r>
      <w:r w:rsidR="00160915" w:rsidRPr="00601F8B">
        <w:rPr>
          <w:color w:val="2F5496" w:themeColor="accent1" w:themeShade="BF"/>
          <w:sz w:val="28"/>
          <w:szCs w:val="28"/>
        </w:rPr>
        <w:t>and Person Specification</w:t>
      </w:r>
      <w:r w:rsidRPr="00601F8B">
        <w:rPr>
          <w:color w:val="2F5496" w:themeColor="accent1" w:themeShade="BF"/>
          <w:sz w:val="28"/>
          <w:szCs w:val="28"/>
        </w:rPr>
        <w:t xml:space="preserve">– </w:t>
      </w:r>
      <w:r w:rsidR="00D310C0">
        <w:rPr>
          <w:color w:val="2F5496" w:themeColor="accent1" w:themeShade="BF"/>
          <w:sz w:val="28"/>
          <w:szCs w:val="28"/>
        </w:rPr>
        <w:t xml:space="preserve">Mind </w:t>
      </w:r>
      <w:r w:rsidR="0050786E">
        <w:rPr>
          <w:color w:val="2F5496" w:themeColor="accent1" w:themeShade="BF"/>
          <w:sz w:val="28"/>
          <w:szCs w:val="28"/>
        </w:rPr>
        <w:t>in</w:t>
      </w:r>
      <w:r w:rsidR="00D310C0">
        <w:rPr>
          <w:color w:val="2F5496" w:themeColor="accent1" w:themeShade="BF"/>
          <w:sz w:val="28"/>
          <w:szCs w:val="28"/>
        </w:rPr>
        <w:t xml:space="preserve"> Enfield and Barnet</w:t>
      </w:r>
    </w:p>
    <w:p w14:paraId="18E5A096" w14:textId="66B1BB09" w:rsidR="00FC6122" w:rsidRDefault="00FC6122">
      <w:r>
        <w:t xml:space="preserve">Role of trustees as members of the </w:t>
      </w:r>
      <w:r w:rsidR="0050786E">
        <w:t>Board t</w:t>
      </w:r>
      <w:r>
        <w:t xml:space="preserve">o govern the activities and affairs of </w:t>
      </w:r>
      <w:r w:rsidR="00D310C0">
        <w:t xml:space="preserve">Mind </w:t>
      </w:r>
      <w:r w:rsidR="0050786E">
        <w:t>in</w:t>
      </w:r>
      <w:r w:rsidR="00D310C0">
        <w:t xml:space="preserve"> Enfield and Barnet</w:t>
      </w:r>
      <w:r w:rsidR="00DE6A18">
        <w:t xml:space="preserve"> (</w:t>
      </w:r>
      <w:r w:rsidR="00D310C0">
        <w:t>MiEB</w:t>
      </w:r>
      <w:r w:rsidR="00DE6A18">
        <w:t>)</w:t>
      </w:r>
      <w:r>
        <w:t xml:space="preserve"> and oversee the strategic and general management of </w:t>
      </w:r>
      <w:r w:rsidR="00D310C0">
        <w:t>MiEB</w:t>
      </w:r>
      <w:r>
        <w:t xml:space="preserve">. Specifically ensuring that </w:t>
      </w:r>
      <w:r w:rsidR="00D310C0">
        <w:t>MiEB</w:t>
      </w:r>
      <w:r>
        <w:t xml:space="preserve"> has a clear purpose and direction, is solvent, well run and delivers its charitable and strategic objectives. Trustees are expected to undertake duties in a manner that reflects </w:t>
      </w:r>
      <w:r w:rsidR="00D310C0">
        <w:t>MiEB</w:t>
      </w:r>
      <w:r>
        <w:t xml:space="preserve">’s values and ethos; and which is open, non-oppressive, respectful, user-centred and committed to equality of opportunity. </w:t>
      </w:r>
      <w:r w:rsidR="0050786E">
        <w:t xml:space="preserve">  Trustees are expected to attend Board meetings on a regular basis and to read all papers in advance.</w:t>
      </w:r>
    </w:p>
    <w:p w14:paraId="3C4E54F0" w14:textId="16F9049D" w:rsidR="00FC6122" w:rsidRPr="00736711" w:rsidRDefault="00FC6122" w:rsidP="00601F8B">
      <w:pPr>
        <w:jc w:val="center"/>
        <w:rPr>
          <w:color w:val="2F5496" w:themeColor="accent1" w:themeShade="BF"/>
        </w:rPr>
      </w:pPr>
      <w:r w:rsidRPr="00736711">
        <w:rPr>
          <w:color w:val="2F5496" w:themeColor="accent1" w:themeShade="BF"/>
        </w:rPr>
        <w:t>Overall Responsibilities</w:t>
      </w:r>
    </w:p>
    <w:p w14:paraId="241D48BE" w14:textId="680E7D2C" w:rsidR="00FC6122" w:rsidRDefault="00FC6122">
      <w:r>
        <w:t xml:space="preserve">1. To set the direction of </w:t>
      </w:r>
      <w:r w:rsidR="00D310C0">
        <w:t>MiEB</w:t>
      </w:r>
      <w:r>
        <w:t xml:space="preserve"> </w:t>
      </w:r>
    </w:p>
    <w:p w14:paraId="127C546D" w14:textId="7F26E5BD" w:rsidR="00FC6122" w:rsidRDefault="00FC6122">
      <w:r>
        <w:t xml:space="preserve">2. To ensure that </w:t>
      </w:r>
      <w:r w:rsidR="00D310C0">
        <w:t>MiEB</w:t>
      </w:r>
      <w:r>
        <w:t xml:space="preserve"> complies with charity and company law and its governing documents. </w:t>
      </w:r>
    </w:p>
    <w:p w14:paraId="46BFA44D" w14:textId="77777777" w:rsidR="00FC6122" w:rsidRDefault="00FC6122">
      <w:r>
        <w:t xml:space="preserve">3. To exercise a duty of care to ensure that the charity is well run and efficient. </w:t>
      </w:r>
    </w:p>
    <w:p w14:paraId="410EFB7C" w14:textId="632C1473" w:rsidR="00FC6122" w:rsidRDefault="00FC6122">
      <w:r>
        <w:t xml:space="preserve">4. To ensure the appropriate use of </w:t>
      </w:r>
      <w:r w:rsidR="00D310C0">
        <w:t>MiEB</w:t>
      </w:r>
      <w:r>
        <w:t xml:space="preserve"> charitable funds and assets in pursuit of its objects and strategic objectives and oversee the effective management of the resources and assets of </w:t>
      </w:r>
      <w:r w:rsidR="00D310C0">
        <w:t>MiEB</w:t>
      </w:r>
      <w:r>
        <w:t xml:space="preserve"> </w:t>
      </w:r>
    </w:p>
    <w:p w14:paraId="0733F3D5" w14:textId="6A32B3D4" w:rsidR="00FC6122" w:rsidRPr="00B162B0" w:rsidRDefault="00FC6122" w:rsidP="00601F8B">
      <w:pPr>
        <w:jc w:val="center"/>
        <w:rPr>
          <w:color w:val="2F5496" w:themeColor="accent1" w:themeShade="BF"/>
        </w:rPr>
      </w:pPr>
      <w:r w:rsidRPr="00B162B0">
        <w:rPr>
          <w:color w:val="2F5496" w:themeColor="accent1" w:themeShade="BF"/>
        </w:rPr>
        <w:t>Main Duties</w:t>
      </w:r>
    </w:p>
    <w:p w14:paraId="6F1DECBF" w14:textId="77777777" w:rsidR="00FC6122" w:rsidRPr="00A37C5E" w:rsidRDefault="00FC6122">
      <w:pPr>
        <w:rPr>
          <w:color w:val="2F5496" w:themeColor="accent1" w:themeShade="BF"/>
        </w:rPr>
      </w:pPr>
      <w:r w:rsidRPr="00A37C5E">
        <w:rPr>
          <w:color w:val="2F5496" w:themeColor="accent1" w:themeShade="BF"/>
        </w:rPr>
        <w:t xml:space="preserve">Setting direction </w:t>
      </w:r>
    </w:p>
    <w:p w14:paraId="6A104855" w14:textId="7E6FC696" w:rsidR="00FC6122" w:rsidRDefault="00FC6122">
      <w:r>
        <w:t>1. To ensure that Mind has a clear mission, values and strategic plan agreed by the</w:t>
      </w:r>
      <w:r w:rsidR="0050786E">
        <w:t xml:space="preserve"> B</w:t>
      </w:r>
      <w:r w:rsidR="00834980">
        <w:t xml:space="preserve">oard of </w:t>
      </w:r>
      <w:r w:rsidR="0050786E">
        <w:t>T</w:t>
      </w:r>
      <w:r w:rsidR="00834980">
        <w:t>rustees</w:t>
      </w:r>
      <w:r>
        <w:t xml:space="preserve">. </w:t>
      </w:r>
    </w:p>
    <w:p w14:paraId="0DB3C2EB" w14:textId="21226D31" w:rsidR="00FC6122" w:rsidRDefault="00FC6122">
      <w:r>
        <w:t xml:space="preserve">2. To agree  arrangements to monitor and evaluate </w:t>
      </w:r>
      <w:r w:rsidR="00D310C0">
        <w:t>MiEB</w:t>
      </w:r>
      <w:r>
        <w:t xml:space="preserve">’s performance in relation to the agreed strategic plan and objectives and to receive regular reports on the performance of </w:t>
      </w:r>
      <w:r w:rsidR="00D310C0">
        <w:t>MiEB</w:t>
      </w:r>
      <w:r>
        <w:t xml:space="preserve">. </w:t>
      </w:r>
    </w:p>
    <w:p w14:paraId="44496346" w14:textId="69D52B8E" w:rsidR="00FC6122" w:rsidRDefault="00FC6122">
      <w:r>
        <w:t xml:space="preserve">3. To oversee the strategic and general management of </w:t>
      </w:r>
      <w:r w:rsidR="00D310C0">
        <w:t>MiEB</w:t>
      </w:r>
      <w:r>
        <w:t xml:space="preserve"> </w:t>
      </w:r>
    </w:p>
    <w:p w14:paraId="749DE7AD" w14:textId="1B7D429A" w:rsidR="00834980" w:rsidRDefault="00FC6122">
      <w:r>
        <w:t xml:space="preserve">4. To ensure that appropriate arrangements are in place to oversee and monitor provision for staff employed by </w:t>
      </w:r>
      <w:r w:rsidR="00D310C0">
        <w:t>MiEB</w:t>
      </w:r>
      <w:r>
        <w:t xml:space="preserve">. </w:t>
      </w:r>
    </w:p>
    <w:p w14:paraId="4E724D38" w14:textId="559C9F73" w:rsidR="00FC6122" w:rsidRPr="00A37C5E" w:rsidRDefault="00FC6122">
      <w:pPr>
        <w:rPr>
          <w:color w:val="2F5496" w:themeColor="accent1" w:themeShade="BF"/>
        </w:rPr>
      </w:pPr>
      <w:r w:rsidRPr="00A37C5E">
        <w:rPr>
          <w:color w:val="2F5496" w:themeColor="accent1" w:themeShade="BF"/>
        </w:rPr>
        <w:t xml:space="preserve">Compliance </w:t>
      </w:r>
    </w:p>
    <w:p w14:paraId="1209408D" w14:textId="136B8167" w:rsidR="00FC6122" w:rsidRDefault="00FC6122">
      <w:r>
        <w:t xml:space="preserve">5. To ensure that </w:t>
      </w:r>
      <w:r w:rsidR="00D310C0">
        <w:t>MiEB</w:t>
      </w:r>
      <w:r>
        <w:t xml:space="preserve"> complies with the Memorandum and Articles of Association, charity law, company law and other relevant legislation and regulations, and to approve official documents as necessary. </w:t>
      </w:r>
    </w:p>
    <w:p w14:paraId="02C6FFE3" w14:textId="7D74ED3B" w:rsidR="00DF5218" w:rsidRDefault="00FC6122">
      <w:r>
        <w:t xml:space="preserve">6. To ensure that all activities and expenditure are in pursuit of </w:t>
      </w:r>
      <w:r w:rsidR="00D310C0">
        <w:t>MiEB</w:t>
      </w:r>
      <w:r>
        <w:t xml:space="preserve">’s charitable objectives. </w:t>
      </w:r>
    </w:p>
    <w:p w14:paraId="67A501C1" w14:textId="40C3BEA7" w:rsidR="00DF5218" w:rsidRDefault="00FC6122">
      <w:r>
        <w:t xml:space="preserve">7. To ensure that </w:t>
      </w:r>
      <w:r w:rsidR="008D5720">
        <w:t xml:space="preserve">The Trustee Annual Report and Accounts </w:t>
      </w:r>
      <w:r>
        <w:t xml:space="preserve"> are produced for the Annual General Meeting and submission to the Charity Commission and Companies House; along with any other legal reporting requirements. </w:t>
      </w:r>
    </w:p>
    <w:p w14:paraId="20EBF987" w14:textId="3D1C3959" w:rsidR="00DF5218" w:rsidRDefault="00FC6122">
      <w:r>
        <w:t xml:space="preserve">8. To ensure that all delegated authority by the </w:t>
      </w:r>
      <w:r w:rsidR="00CF0AAF">
        <w:t>Board</w:t>
      </w:r>
      <w:r>
        <w:t xml:space="preserve"> is clearly recorded through terms of reference, minutes of the </w:t>
      </w:r>
      <w:r w:rsidR="00C42859">
        <w:t>Board</w:t>
      </w:r>
      <w:r>
        <w:t xml:space="preserve"> and sub-committees and that reporting procedures back to the </w:t>
      </w:r>
      <w:r w:rsidR="00C42859">
        <w:t>Board</w:t>
      </w:r>
      <w:r>
        <w:t xml:space="preserve"> are in place, recorded in writing and complied with. </w:t>
      </w:r>
    </w:p>
    <w:p w14:paraId="7ED0CE3D" w14:textId="2B85023B" w:rsidR="00521CA7" w:rsidRDefault="00521CA7"/>
    <w:p w14:paraId="0A8F458E" w14:textId="77777777" w:rsidR="00331C20" w:rsidRDefault="00331C20"/>
    <w:p w14:paraId="28B365E1" w14:textId="77777777" w:rsidR="00521CA7" w:rsidRDefault="00521CA7"/>
    <w:p w14:paraId="310DD0E9" w14:textId="77777777" w:rsidR="00DF5218" w:rsidRPr="00521CA7" w:rsidRDefault="00FC6122">
      <w:pPr>
        <w:rPr>
          <w:color w:val="2F5496" w:themeColor="accent1" w:themeShade="BF"/>
        </w:rPr>
      </w:pPr>
      <w:r w:rsidRPr="00521CA7">
        <w:rPr>
          <w:color w:val="2F5496" w:themeColor="accent1" w:themeShade="BF"/>
        </w:rPr>
        <w:t xml:space="preserve">Duty of Care </w:t>
      </w:r>
    </w:p>
    <w:p w14:paraId="78A0CEBA" w14:textId="57694784" w:rsidR="00DF5218" w:rsidRDefault="00FC6122">
      <w:r>
        <w:t xml:space="preserve">9. To ensure that </w:t>
      </w:r>
      <w:r w:rsidR="00D310C0">
        <w:t>MiEB</w:t>
      </w:r>
      <w:r>
        <w:t xml:space="preserve"> has an appropriate governance structure in place in relation to its objectives, size and stakeholders to enable </w:t>
      </w:r>
      <w:r w:rsidR="00C42859">
        <w:t>Board</w:t>
      </w:r>
      <w:r>
        <w:t xml:space="preserve"> members to fulfil their responsibilities and to review such arrangements regularly. </w:t>
      </w:r>
    </w:p>
    <w:p w14:paraId="268CEBAF" w14:textId="77777777" w:rsidR="00DF5218" w:rsidRDefault="00FC6122">
      <w:r>
        <w:t xml:space="preserve">10.To seek external professional advice and expertise as required. </w:t>
      </w:r>
    </w:p>
    <w:p w14:paraId="65B1DBCB" w14:textId="11A9BF2B" w:rsidR="00DF5218" w:rsidRDefault="00FC6122">
      <w:r>
        <w:t xml:space="preserve">11.To annually assess the </w:t>
      </w:r>
      <w:r w:rsidR="000B28E4">
        <w:t>Board</w:t>
      </w:r>
      <w:r>
        <w:t xml:space="preserve">’s performance as a board. </w:t>
      </w:r>
    </w:p>
    <w:p w14:paraId="75CE893C" w14:textId="17655DA4" w:rsidR="00DF5218" w:rsidRDefault="00FC6122">
      <w:r>
        <w:t xml:space="preserve">12.To ensure that the </w:t>
      </w:r>
      <w:r w:rsidR="0053177C">
        <w:t xml:space="preserve">Board </w:t>
      </w:r>
      <w:r>
        <w:t xml:space="preserve">l has appropriate arrangements for the election and co-option of trustees and the appropriate skills to govern effectively. </w:t>
      </w:r>
    </w:p>
    <w:p w14:paraId="6512BF82" w14:textId="3075DBF2" w:rsidR="00DF5218" w:rsidRDefault="00FC6122">
      <w:r>
        <w:t xml:space="preserve">13.To ensure that the </w:t>
      </w:r>
      <w:r w:rsidR="0053177C">
        <w:t>Board</w:t>
      </w:r>
      <w:r>
        <w:t xml:space="preserve"> has a code of conduct that it is complied with and that there are appropriate arrangements in place for the removal of trustees who do not abide by the code of conduct. </w:t>
      </w:r>
    </w:p>
    <w:p w14:paraId="769750CD" w14:textId="4EFD3F94" w:rsidR="00DF5218" w:rsidRDefault="00FC6122">
      <w:r>
        <w:t>14</w:t>
      </w:r>
      <w:r w:rsidR="0050786E">
        <w:t>. To</w:t>
      </w:r>
      <w:r>
        <w:t xml:space="preserve"> make arrangements for the appointment and supervision of the Chief Executive</w:t>
      </w:r>
      <w:r w:rsidR="008D5720">
        <w:t xml:space="preserve"> to ensure</w:t>
      </w:r>
      <w:r w:rsidR="00261864">
        <w:t xml:space="preserve"> </w:t>
      </w:r>
      <w:r w:rsidR="008D5720">
        <w:t>e</w:t>
      </w:r>
      <w:r>
        <w:t>ffective management of resource</w:t>
      </w:r>
      <w:r w:rsidR="008D5720">
        <w:t>s</w:t>
      </w:r>
      <w:r>
        <w:t xml:space="preserve"> and assets </w:t>
      </w:r>
    </w:p>
    <w:p w14:paraId="790E53D6" w14:textId="21392258" w:rsidR="00DF5218" w:rsidRDefault="00FC6122">
      <w:r>
        <w:t xml:space="preserve">15.To oversee </w:t>
      </w:r>
      <w:r w:rsidR="00D310C0">
        <w:t>MiEB</w:t>
      </w:r>
      <w:r>
        <w:t xml:space="preserve">’s financial affairs to ensure financial stability. </w:t>
      </w:r>
    </w:p>
    <w:p w14:paraId="37EA0A3F" w14:textId="28AE1F8D" w:rsidR="00DF5218" w:rsidRDefault="00FC6122">
      <w:r>
        <w:t xml:space="preserve">16.To ensure that appropriate arrangements are in place to oversee the management and protection of </w:t>
      </w:r>
      <w:r w:rsidR="00D310C0">
        <w:t>MiEB</w:t>
      </w:r>
      <w:r>
        <w:t xml:space="preserve">’s assets and investments.  </w:t>
      </w:r>
    </w:p>
    <w:p w14:paraId="6439B195" w14:textId="6A1108AB" w:rsidR="00DF5218" w:rsidRDefault="00FC6122">
      <w:r>
        <w:t xml:space="preserve">17.To ensure that user involvement is sustained through all aspects of </w:t>
      </w:r>
      <w:r w:rsidR="00D310C0">
        <w:t>MiEB</w:t>
      </w:r>
      <w:r>
        <w:t xml:space="preserve">’s work and relationships. </w:t>
      </w:r>
    </w:p>
    <w:p w14:paraId="08A02242" w14:textId="059BD02A" w:rsidR="00DF5218" w:rsidRDefault="00FC6122">
      <w:r>
        <w:t xml:space="preserve">18.To ensure that equalities and diversity is sustained through all aspects of </w:t>
      </w:r>
      <w:r w:rsidR="00D310C0">
        <w:t>MiEB</w:t>
      </w:r>
      <w:r>
        <w:t xml:space="preserve">’s work and relationships. </w:t>
      </w:r>
    </w:p>
    <w:p w14:paraId="2C07447E" w14:textId="641C6349" w:rsidR="00DF5218" w:rsidRDefault="00FC6122">
      <w:r>
        <w:t xml:space="preserve">19.To ensure that </w:t>
      </w:r>
      <w:r w:rsidR="00D310C0">
        <w:t>MiEB</w:t>
      </w:r>
      <w:r>
        <w:t xml:space="preserve"> is accountable to its donors and stakeholders. </w:t>
      </w:r>
    </w:p>
    <w:p w14:paraId="533F4646" w14:textId="400C324B" w:rsidR="00DF5218" w:rsidRDefault="00FC6122">
      <w:r>
        <w:t xml:space="preserve">20.To ensure that there are effective arrangements in place to enable stakeholder feedback to the </w:t>
      </w:r>
      <w:r w:rsidR="00956218">
        <w:t>board</w:t>
      </w:r>
      <w:r>
        <w:t xml:space="preserve">. </w:t>
      </w:r>
    </w:p>
    <w:p w14:paraId="3886E657" w14:textId="3AFD2DCE" w:rsidR="00DF5218" w:rsidRDefault="00FC6122">
      <w:r>
        <w:t xml:space="preserve">The </w:t>
      </w:r>
      <w:r w:rsidR="00956218">
        <w:t>Board</w:t>
      </w:r>
      <w:r>
        <w:t xml:space="preserve"> normally meets </w:t>
      </w:r>
      <w:r w:rsidR="0033050A">
        <w:t>quarterly</w:t>
      </w:r>
      <w:r w:rsidR="00214ECC">
        <w:t xml:space="preserve">, and in addition </w:t>
      </w:r>
      <w:r w:rsidR="0050786E">
        <w:t>there</w:t>
      </w:r>
      <w:r w:rsidR="00214ECC">
        <w:t xml:space="preserve"> may be </w:t>
      </w:r>
      <w:r w:rsidR="00304DB6">
        <w:t xml:space="preserve">‘one-off’ </w:t>
      </w:r>
      <w:r w:rsidR="00214ECC">
        <w:t xml:space="preserve">extraordinary board meetings or </w:t>
      </w:r>
      <w:r w:rsidR="00304DB6">
        <w:t xml:space="preserve">sub-committees to attend. </w:t>
      </w:r>
    </w:p>
    <w:p w14:paraId="2B3D63DB" w14:textId="3947D52D" w:rsidR="00A37C5E" w:rsidRDefault="00FC6122">
      <w:r w:rsidRPr="0008048F">
        <w:t xml:space="preserve">Terms of office are for </w:t>
      </w:r>
      <w:r w:rsidR="0008048F" w:rsidRPr="0008048F">
        <w:t>three</w:t>
      </w:r>
      <w:r w:rsidR="0008048F">
        <w:t xml:space="preserve"> years. </w:t>
      </w:r>
    </w:p>
    <w:p w14:paraId="0552F989" w14:textId="7144E4DA" w:rsidR="00D93FEC" w:rsidRPr="00A37C5E" w:rsidRDefault="00FC6122">
      <w:pPr>
        <w:rPr>
          <w:color w:val="2F5496" w:themeColor="accent1" w:themeShade="BF"/>
        </w:rPr>
      </w:pPr>
      <w:r w:rsidRPr="00A37C5E">
        <w:rPr>
          <w:color w:val="2F5496" w:themeColor="accent1" w:themeShade="BF"/>
        </w:rPr>
        <w:t xml:space="preserve">Expectations </w:t>
      </w:r>
    </w:p>
    <w:p w14:paraId="6EDA3A85" w14:textId="718ADFFB" w:rsidR="00115AE6" w:rsidRDefault="00FC6122">
      <w:r>
        <w:t xml:space="preserve">1. To ensure equality of opportunity is promoted and sustained through all aspects of </w:t>
      </w:r>
      <w:r w:rsidR="00D310C0">
        <w:t>MiEB</w:t>
      </w:r>
      <w:r>
        <w:t xml:space="preserve">’s work and relationships and commit to ensuring that stakeholders have a say and that equalities issues are addressed </w:t>
      </w:r>
    </w:p>
    <w:p w14:paraId="438F5758" w14:textId="7C6C96BC" w:rsidR="00115AE6" w:rsidRDefault="00FC6122">
      <w:r>
        <w:t xml:space="preserve">2. To represent the </w:t>
      </w:r>
      <w:r w:rsidR="00F26BE8">
        <w:t xml:space="preserve">Board </w:t>
      </w:r>
      <w:r>
        <w:t xml:space="preserve">if </w:t>
      </w:r>
      <w:r w:rsidR="0008048F">
        <w:t>necessary,</w:t>
      </w:r>
      <w:r>
        <w:t xml:space="preserve"> on internal disciplinary and complaint panels or other panels, and on external bodies by agreement. </w:t>
      </w:r>
    </w:p>
    <w:p w14:paraId="15E62B98" w14:textId="41BC552A" w:rsidR="00115AE6" w:rsidRDefault="00FC6122">
      <w:r>
        <w:t xml:space="preserve">3. To be aware of and accept the responsibilities of a </w:t>
      </w:r>
      <w:r w:rsidR="008D5720">
        <w:t>charity</w:t>
      </w:r>
      <w:r>
        <w:t xml:space="preserve"> trustee, to act properly at all times and declare any impediment or </w:t>
      </w:r>
      <w:r w:rsidR="008D5720">
        <w:t xml:space="preserve">conflict of </w:t>
      </w:r>
      <w:r>
        <w:t xml:space="preserve">interest relevant to the role of trustee. </w:t>
      </w:r>
    </w:p>
    <w:p w14:paraId="7094C836" w14:textId="2A626374" w:rsidR="00115AE6" w:rsidRDefault="00FC6122">
      <w:r>
        <w:lastRenderedPageBreak/>
        <w:t xml:space="preserve">4. Act in good faith with due care and diligence for the best interests of </w:t>
      </w:r>
      <w:r w:rsidR="00D310C0">
        <w:t>MiEB</w:t>
      </w:r>
      <w:r>
        <w:t xml:space="preserve"> and working within </w:t>
      </w:r>
      <w:r w:rsidR="00D310C0">
        <w:t>MiEB</w:t>
      </w:r>
      <w:r>
        <w:t xml:space="preserve">’s Vision, Mission and values. </w:t>
      </w:r>
    </w:p>
    <w:p w14:paraId="0648BD98" w14:textId="44B7CD63" w:rsidR="00115AE6" w:rsidRDefault="00FC6122">
      <w:r>
        <w:t xml:space="preserve">5. To attend and participate in meetings, contributing own opinions and ensuring that papers are read in preparation for meetings </w:t>
      </w:r>
    </w:p>
    <w:p w14:paraId="60565AA3" w14:textId="3888E164" w:rsidR="00115AE6" w:rsidRDefault="00FC6122">
      <w:r>
        <w:t xml:space="preserve">6. Contribute to forging consensus, working in mutual respect for the benefit of </w:t>
      </w:r>
      <w:r w:rsidR="00D310C0">
        <w:t>MiEB</w:t>
      </w:r>
      <w:r>
        <w:t xml:space="preserve"> and to make and stand by collective decisions of the </w:t>
      </w:r>
      <w:r w:rsidR="00037131">
        <w:t>Board</w:t>
      </w:r>
      <w:r>
        <w:t xml:space="preserve">. </w:t>
      </w:r>
    </w:p>
    <w:p w14:paraId="0CA425C4" w14:textId="77777777" w:rsidR="00115AE6" w:rsidRDefault="00FC6122">
      <w:r>
        <w:t xml:space="preserve">7. To undertake training and attend induction. </w:t>
      </w:r>
    </w:p>
    <w:p w14:paraId="7197E17F" w14:textId="19A6A4AF" w:rsidR="00115AE6" w:rsidRDefault="00FC6122">
      <w:r>
        <w:t xml:space="preserve">8. To take personal responsibility for commitment to </w:t>
      </w:r>
      <w:r w:rsidR="00E25325">
        <w:t>the Board</w:t>
      </w:r>
      <w:r>
        <w:t xml:space="preserve"> – for example sending apologies and catching up with any matters or issues missed if absent from meetings </w:t>
      </w:r>
    </w:p>
    <w:p w14:paraId="67B6A770" w14:textId="711BF5E9" w:rsidR="00115AE6" w:rsidRDefault="00FC6122">
      <w:r>
        <w:t xml:space="preserve">9. Respect confidentiality of matters discussed at </w:t>
      </w:r>
      <w:r w:rsidR="00777149">
        <w:t>the Board meetings</w:t>
      </w:r>
      <w:r>
        <w:t xml:space="preserve"> and any other meetings set up by the </w:t>
      </w:r>
      <w:r w:rsidR="0050786E">
        <w:t>subcommittee</w:t>
      </w:r>
      <w:r>
        <w:t xml:space="preserve">. </w:t>
      </w:r>
    </w:p>
    <w:p w14:paraId="3C265FE5" w14:textId="232AF970" w:rsidR="00115AE6" w:rsidRDefault="00FC6122">
      <w:r>
        <w:t>10.Abide by</w:t>
      </w:r>
      <w:r w:rsidR="008D5720">
        <w:t xml:space="preserve"> the Charity</w:t>
      </w:r>
      <w:r w:rsidR="00261864">
        <w:t xml:space="preserve"> </w:t>
      </w:r>
      <w:r>
        <w:t>Governance Code</w:t>
      </w:r>
      <w:r w:rsidR="008D5720">
        <w:t>.</w:t>
      </w:r>
      <w:r>
        <w:t xml:space="preserve"> </w:t>
      </w:r>
    </w:p>
    <w:p w14:paraId="6BB9505C" w14:textId="04B3FB4C" w:rsidR="00115AE6" w:rsidRDefault="00FC6122">
      <w:r>
        <w:t xml:space="preserve">11.Ensure that all activities and expenditure are in pursuit of </w:t>
      </w:r>
      <w:r w:rsidR="00D310C0">
        <w:t>MiEB</w:t>
      </w:r>
      <w:r>
        <w:t xml:space="preserve">'s charitable objectives. </w:t>
      </w:r>
    </w:p>
    <w:p w14:paraId="7F68A1C5" w14:textId="463891B2" w:rsidR="00115AE6" w:rsidRDefault="00FC6122">
      <w:r>
        <w:t xml:space="preserve">12.Evaluate the performance of </w:t>
      </w:r>
      <w:r w:rsidR="006B7DAB">
        <w:t>the Board</w:t>
      </w:r>
      <w:r>
        <w:t xml:space="preserve"> in relation to the agreed objectives. </w:t>
      </w:r>
    </w:p>
    <w:p w14:paraId="328E982C" w14:textId="5EDEE689" w:rsidR="00115AE6" w:rsidRDefault="00FC6122">
      <w:r>
        <w:t xml:space="preserve">13.To engage with the wider work of </w:t>
      </w:r>
      <w:r w:rsidR="00D310C0">
        <w:t>MiEB</w:t>
      </w:r>
      <w:r w:rsidR="008D5720">
        <w:t xml:space="preserve"> where appropriate</w:t>
      </w:r>
      <w:r>
        <w:t xml:space="preserve">. </w:t>
      </w:r>
    </w:p>
    <w:p w14:paraId="59490694" w14:textId="31E14A9D" w:rsidR="00A37C5E" w:rsidRPr="00A37C5E" w:rsidRDefault="00FC6122">
      <w:pPr>
        <w:rPr>
          <w:color w:val="2F5496" w:themeColor="accent1" w:themeShade="BF"/>
        </w:rPr>
      </w:pPr>
      <w:r w:rsidRPr="00A37C5E">
        <w:rPr>
          <w:color w:val="2F5496" w:themeColor="accent1" w:themeShade="BF"/>
        </w:rPr>
        <w:t xml:space="preserve">Personal </w:t>
      </w:r>
      <w:r w:rsidR="00A37C5E">
        <w:rPr>
          <w:color w:val="2F5496" w:themeColor="accent1" w:themeShade="BF"/>
        </w:rPr>
        <w:t>C</w:t>
      </w:r>
      <w:r w:rsidRPr="00A37C5E">
        <w:rPr>
          <w:color w:val="2F5496" w:themeColor="accent1" w:themeShade="BF"/>
        </w:rPr>
        <w:t xml:space="preserve">ompetencies </w:t>
      </w:r>
    </w:p>
    <w:p w14:paraId="705AADDC" w14:textId="171622C4" w:rsidR="00797E56" w:rsidRDefault="00FC6122">
      <w:r>
        <w:t xml:space="preserve">All Trustees </w:t>
      </w:r>
      <w:r w:rsidR="0031103C">
        <w:t>must</w:t>
      </w:r>
      <w:r>
        <w:t xml:space="preserve"> demonstrate the following competencies to become a member of </w:t>
      </w:r>
      <w:r w:rsidR="006B7DAB">
        <w:t>the Board</w:t>
      </w:r>
      <w:r>
        <w:t xml:space="preserve">: </w:t>
      </w:r>
    </w:p>
    <w:p w14:paraId="06C229EE" w14:textId="32FD0FAC" w:rsidR="00797E56" w:rsidRDefault="00FC6122">
      <w:r>
        <w:t xml:space="preserve">1. An understanding of and commitment to </w:t>
      </w:r>
      <w:r w:rsidR="00D310C0">
        <w:t>MiEB</w:t>
      </w:r>
      <w:r>
        <w:t xml:space="preserve">’s Vision, Mission and Values including stakeholder engagement and diversity </w:t>
      </w:r>
    </w:p>
    <w:p w14:paraId="697849A3" w14:textId="47407E10" w:rsidR="00797E56" w:rsidRDefault="00FC6122">
      <w:r>
        <w:t>2. Knowledge o</w:t>
      </w:r>
      <w:r w:rsidR="008D5720">
        <w:t>f</w:t>
      </w:r>
      <w:r>
        <w:t>, and/or an interest in</w:t>
      </w:r>
      <w:r w:rsidR="008D5720">
        <w:t>,</w:t>
      </w:r>
      <w:r>
        <w:t xml:space="preserve"> mental health issues. </w:t>
      </w:r>
    </w:p>
    <w:p w14:paraId="1A7621D4" w14:textId="77777777" w:rsidR="00797E56" w:rsidRDefault="00FC6122">
      <w:r>
        <w:t xml:space="preserve">3. Ability to work effectively in a group and take part in discussions </w:t>
      </w:r>
    </w:p>
    <w:p w14:paraId="346A23F3" w14:textId="77777777" w:rsidR="00797E56" w:rsidRDefault="00FC6122">
      <w:r>
        <w:t xml:space="preserve">4. Ability to manage difficult and/or challenging situations </w:t>
      </w:r>
    </w:p>
    <w:p w14:paraId="6A897319" w14:textId="77777777" w:rsidR="00797E56" w:rsidRDefault="00FC6122">
      <w:r>
        <w:t xml:space="preserve">5. Ability to challenge constructively and ask questions appropriately </w:t>
      </w:r>
    </w:p>
    <w:p w14:paraId="54CD4491" w14:textId="77777777" w:rsidR="00797E56" w:rsidRDefault="00FC6122">
      <w:r>
        <w:t xml:space="preserve">6. Ability to analyse information </w:t>
      </w:r>
    </w:p>
    <w:p w14:paraId="2410FA52" w14:textId="65CEA8FC" w:rsidR="00D50F08" w:rsidRDefault="00FC6122">
      <w:r>
        <w:t xml:space="preserve">7. Willingness to abide by the expectations of </w:t>
      </w:r>
      <w:r w:rsidR="00AF21C1">
        <w:t>the Board</w:t>
      </w:r>
      <w:r>
        <w:t xml:space="preserve"> members and the </w:t>
      </w:r>
      <w:r w:rsidR="007A6541">
        <w:t>Charity Governance Code</w:t>
      </w:r>
      <w:r>
        <w:t xml:space="preserve"> </w:t>
      </w:r>
    </w:p>
    <w:p w14:paraId="341FD46B" w14:textId="77777777" w:rsidR="007A6541" w:rsidRDefault="00FC6122">
      <w:pPr>
        <w:rPr>
          <w:color w:val="2F5496" w:themeColor="accent1" w:themeShade="BF"/>
        </w:rPr>
      </w:pPr>
      <w:r w:rsidRPr="007A6541">
        <w:rPr>
          <w:b/>
          <w:bCs/>
          <w:color w:val="2F5496" w:themeColor="accent1" w:themeShade="BF"/>
        </w:rPr>
        <w:t>Essential Skills/Knowledge</w:t>
      </w:r>
      <w:r w:rsidRPr="00351060">
        <w:rPr>
          <w:color w:val="2F5496" w:themeColor="accent1" w:themeShade="BF"/>
        </w:rPr>
        <w:t xml:space="preserve"> </w:t>
      </w:r>
    </w:p>
    <w:p w14:paraId="0BD27085" w14:textId="5514A9B5" w:rsidR="00D50F08" w:rsidRPr="00351060" w:rsidRDefault="00FC6122">
      <w:pPr>
        <w:rPr>
          <w:color w:val="2F5496" w:themeColor="accent1" w:themeShade="BF"/>
        </w:rPr>
      </w:pPr>
      <w:r w:rsidRPr="00351060">
        <w:rPr>
          <w:color w:val="2F5496" w:themeColor="accent1" w:themeShade="BF"/>
        </w:rPr>
        <w:t xml:space="preserve">Trustees must possess </w:t>
      </w:r>
      <w:r w:rsidR="00760F5F">
        <w:rPr>
          <w:color w:val="2F5496" w:themeColor="accent1" w:themeShade="BF"/>
        </w:rPr>
        <w:t xml:space="preserve">a </w:t>
      </w:r>
      <w:r w:rsidR="007A6541">
        <w:rPr>
          <w:color w:val="2F5496" w:themeColor="accent1" w:themeShade="BF"/>
        </w:rPr>
        <w:t>selection</w:t>
      </w:r>
      <w:r w:rsidR="00760F5F">
        <w:rPr>
          <w:color w:val="2F5496" w:themeColor="accent1" w:themeShade="BF"/>
        </w:rPr>
        <w:t xml:space="preserve"> of </w:t>
      </w:r>
      <w:r w:rsidRPr="00351060">
        <w:rPr>
          <w:color w:val="2F5496" w:themeColor="accent1" w:themeShade="BF"/>
        </w:rPr>
        <w:t xml:space="preserve">skills and/or </w:t>
      </w:r>
      <w:r w:rsidR="00760F5F">
        <w:rPr>
          <w:color w:val="2F5496" w:themeColor="accent1" w:themeShade="BF"/>
        </w:rPr>
        <w:t xml:space="preserve">current </w:t>
      </w:r>
      <w:r w:rsidRPr="00351060">
        <w:rPr>
          <w:color w:val="2F5496" w:themeColor="accent1" w:themeShade="BF"/>
        </w:rPr>
        <w:t>experience in the following areas:</w:t>
      </w:r>
    </w:p>
    <w:p w14:paraId="04FAB1B8" w14:textId="1000FAAF" w:rsidR="00D50F08" w:rsidRDefault="00FC6122" w:rsidP="00160915">
      <w:pPr>
        <w:pStyle w:val="ListParagraph"/>
        <w:numPr>
          <w:ilvl w:val="0"/>
          <w:numId w:val="2"/>
        </w:numPr>
      </w:pPr>
      <w:r>
        <w:t>Strategic planning</w:t>
      </w:r>
    </w:p>
    <w:p w14:paraId="0255434C" w14:textId="35C0AC9A" w:rsidR="00D50F08" w:rsidRDefault="00FC6122" w:rsidP="00160915">
      <w:pPr>
        <w:pStyle w:val="ListParagraph"/>
        <w:numPr>
          <w:ilvl w:val="0"/>
          <w:numId w:val="2"/>
        </w:numPr>
      </w:pPr>
      <w:r>
        <w:t xml:space="preserve">General management skills </w:t>
      </w:r>
    </w:p>
    <w:p w14:paraId="7545E350" w14:textId="103102E2" w:rsidR="00D01018" w:rsidRDefault="00FC6122" w:rsidP="00160915">
      <w:pPr>
        <w:pStyle w:val="ListParagraph"/>
        <w:numPr>
          <w:ilvl w:val="0"/>
          <w:numId w:val="2"/>
        </w:numPr>
      </w:pPr>
      <w:r>
        <w:t xml:space="preserve">Finance Desirable Skills/knowledge </w:t>
      </w:r>
    </w:p>
    <w:p w14:paraId="6F1CFEEF" w14:textId="77777777" w:rsidR="007A6541" w:rsidRDefault="007A6541" w:rsidP="00261864">
      <w:pPr>
        <w:ind w:left="45"/>
      </w:pPr>
    </w:p>
    <w:p w14:paraId="60DFE776" w14:textId="77777777" w:rsidR="007A6541" w:rsidRDefault="007A6541" w:rsidP="00261864">
      <w:pPr>
        <w:ind w:left="45"/>
      </w:pPr>
    </w:p>
    <w:p w14:paraId="23E814CF" w14:textId="466D0EDC" w:rsidR="007A6541" w:rsidRPr="007A6541" w:rsidRDefault="007A6541" w:rsidP="00261864">
      <w:pPr>
        <w:ind w:left="45"/>
        <w:rPr>
          <w:b/>
          <w:bCs/>
          <w:color w:val="4472C4" w:themeColor="accent1"/>
        </w:rPr>
      </w:pPr>
      <w:r w:rsidRPr="007A6541">
        <w:rPr>
          <w:b/>
          <w:bCs/>
          <w:color w:val="4472C4" w:themeColor="accent1"/>
        </w:rPr>
        <w:t>Desirable Skills/Knowledge:</w:t>
      </w:r>
    </w:p>
    <w:p w14:paraId="4B35AD12" w14:textId="66DF69BB" w:rsidR="00D50F08" w:rsidRPr="007A6541" w:rsidRDefault="00D01018" w:rsidP="00261864">
      <w:pPr>
        <w:ind w:left="45"/>
        <w:rPr>
          <w:color w:val="4472C4" w:themeColor="accent1"/>
        </w:rPr>
      </w:pPr>
      <w:r w:rsidRPr="007A6541">
        <w:rPr>
          <w:color w:val="4472C4" w:themeColor="accent1"/>
        </w:rPr>
        <w:lastRenderedPageBreak/>
        <w:t xml:space="preserve">The Board </w:t>
      </w:r>
      <w:r w:rsidR="00FC6122" w:rsidRPr="007A6541">
        <w:rPr>
          <w:color w:val="4472C4" w:themeColor="accent1"/>
        </w:rPr>
        <w:t xml:space="preserve">must also include members with expertise in or professional experience in at least four the following areas: </w:t>
      </w:r>
    </w:p>
    <w:p w14:paraId="000804AC" w14:textId="3EECF710" w:rsidR="00D50F08" w:rsidRDefault="00FC6122" w:rsidP="00160915">
      <w:pPr>
        <w:pStyle w:val="ListParagraph"/>
        <w:numPr>
          <w:ilvl w:val="0"/>
          <w:numId w:val="2"/>
        </w:numPr>
      </w:pPr>
      <w:r>
        <w:t>Governance</w:t>
      </w:r>
    </w:p>
    <w:p w14:paraId="630D4430" w14:textId="45BA7FA7" w:rsidR="00D50F08" w:rsidRDefault="00FC6122" w:rsidP="00160915">
      <w:pPr>
        <w:pStyle w:val="ListParagraph"/>
        <w:numPr>
          <w:ilvl w:val="0"/>
          <w:numId w:val="2"/>
        </w:numPr>
      </w:pPr>
      <w:r>
        <w:t xml:space="preserve">Policy influencing/implementation </w:t>
      </w:r>
    </w:p>
    <w:p w14:paraId="3B2F0F78" w14:textId="2554F840" w:rsidR="00D50F08" w:rsidRDefault="00FC6122" w:rsidP="00160915">
      <w:pPr>
        <w:pStyle w:val="ListParagraph"/>
        <w:numPr>
          <w:ilvl w:val="0"/>
          <w:numId w:val="2"/>
        </w:numPr>
      </w:pPr>
      <w:r>
        <w:t xml:space="preserve">Fundraising expertise </w:t>
      </w:r>
    </w:p>
    <w:p w14:paraId="6F95C043" w14:textId="428ADE19" w:rsidR="00D50F08" w:rsidRDefault="00FC6122" w:rsidP="00160915">
      <w:pPr>
        <w:pStyle w:val="ListParagraph"/>
        <w:numPr>
          <w:ilvl w:val="0"/>
          <w:numId w:val="2"/>
        </w:numPr>
      </w:pPr>
      <w:r>
        <w:t xml:space="preserve">User-engagement </w:t>
      </w:r>
    </w:p>
    <w:p w14:paraId="46A10714" w14:textId="22D2A5C1" w:rsidR="00D50F08" w:rsidRDefault="00FC6122" w:rsidP="00160915">
      <w:pPr>
        <w:pStyle w:val="ListParagraph"/>
        <w:numPr>
          <w:ilvl w:val="0"/>
          <w:numId w:val="2"/>
        </w:numPr>
      </w:pPr>
      <w:r>
        <w:t xml:space="preserve">Equalities and diversity </w:t>
      </w:r>
    </w:p>
    <w:p w14:paraId="57B0E7DA" w14:textId="3BBEC355" w:rsidR="00D50F08" w:rsidRDefault="00FC6122" w:rsidP="00160915">
      <w:pPr>
        <w:pStyle w:val="ListParagraph"/>
        <w:numPr>
          <w:ilvl w:val="0"/>
          <w:numId w:val="2"/>
        </w:numPr>
      </w:pPr>
      <w:r>
        <w:t xml:space="preserve">Mental health policy/issues </w:t>
      </w:r>
    </w:p>
    <w:p w14:paraId="0D10150D" w14:textId="7F8740BD" w:rsidR="00D50F08" w:rsidRDefault="00FC6122" w:rsidP="00160915">
      <w:pPr>
        <w:pStyle w:val="ListParagraph"/>
        <w:numPr>
          <w:ilvl w:val="0"/>
          <w:numId w:val="2"/>
        </w:numPr>
      </w:pPr>
      <w:r>
        <w:t xml:space="preserve">Senior level experience of Local Minds or other community based services </w:t>
      </w:r>
    </w:p>
    <w:p w14:paraId="37540F9D" w14:textId="01647CFF" w:rsidR="00245551" w:rsidRDefault="00FC6122" w:rsidP="00160915">
      <w:pPr>
        <w:pStyle w:val="ListParagraph"/>
        <w:numPr>
          <w:ilvl w:val="0"/>
          <w:numId w:val="2"/>
        </w:numPr>
      </w:pPr>
      <w:r>
        <w:t xml:space="preserve">Understanding and awareness of digital services and innovation </w:t>
      </w:r>
    </w:p>
    <w:p w14:paraId="0EDD685E" w14:textId="354294ED" w:rsidR="00245551" w:rsidRDefault="00FC6122" w:rsidP="00160915">
      <w:pPr>
        <w:pStyle w:val="ListParagraph"/>
        <w:numPr>
          <w:ilvl w:val="0"/>
          <w:numId w:val="2"/>
        </w:numPr>
      </w:pPr>
      <w:r>
        <w:t xml:space="preserve">Service provision </w:t>
      </w:r>
    </w:p>
    <w:p w14:paraId="2ABB719D" w14:textId="797B6099" w:rsidR="00245551" w:rsidRDefault="00FC6122" w:rsidP="00160915">
      <w:pPr>
        <w:pStyle w:val="ListParagraph"/>
        <w:numPr>
          <w:ilvl w:val="0"/>
          <w:numId w:val="2"/>
        </w:numPr>
      </w:pPr>
      <w:r>
        <w:t xml:space="preserve">Grant making </w:t>
      </w:r>
    </w:p>
    <w:p w14:paraId="1905012B" w14:textId="64D4F78C" w:rsidR="00245551" w:rsidRDefault="00FC6122" w:rsidP="00160915">
      <w:pPr>
        <w:pStyle w:val="ListParagraph"/>
        <w:numPr>
          <w:ilvl w:val="0"/>
          <w:numId w:val="2"/>
        </w:numPr>
      </w:pPr>
      <w:r>
        <w:t xml:space="preserve">Fundraising/income generation </w:t>
      </w:r>
    </w:p>
    <w:p w14:paraId="5D2556A7" w14:textId="77C582B4" w:rsidR="00245551" w:rsidRDefault="00FC6122" w:rsidP="00160915">
      <w:pPr>
        <w:pStyle w:val="ListParagraph"/>
        <w:numPr>
          <w:ilvl w:val="0"/>
          <w:numId w:val="2"/>
        </w:numPr>
      </w:pPr>
      <w:r>
        <w:t xml:space="preserve">Marketing </w:t>
      </w:r>
    </w:p>
    <w:p w14:paraId="73393B2C" w14:textId="02899D04" w:rsidR="00245551" w:rsidRDefault="00FC6122" w:rsidP="00160915">
      <w:pPr>
        <w:pStyle w:val="ListParagraph"/>
        <w:numPr>
          <w:ilvl w:val="0"/>
          <w:numId w:val="2"/>
        </w:numPr>
      </w:pPr>
      <w:r>
        <w:t xml:space="preserve">Communications </w:t>
      </w:r>
    </w:p>
    <w:p w14:paraId="167D16FB" w14:textId="64174F4E" w:rsidR="00245551" w:rsidRDefault="00FC6122" w:rsidP="00160915">
      <w:pPr>
        <w:pStyle w:val="ListParagraph"/>
        <w:numPr>
          <w:ilvl w:val="0"/>
          <w:numId w:val="2"/>
        </w:numPr>
      </w:pPr>
      <w:r>
        <w:t xml:space="preserve">Quality systems </w:t>
      </w:r>
    </w:p>
    <w:p w14:paraId="627EDB82" w14:textId="1029F276" w:rsidR="00245551" w:rsidRDefault="00FC6122" w:rsidP="00160915">
      <w:pPr>
        <w:pStyle w:val="ListParagraph"/>
        <w:numPr>
          <w:ilvl w:val="0"/>
          <w:numId w:val="2"/>
        </w:numPr>
      </w:pPr>
      <w:r>
        <w:t xml:space="preserve">Federal structures </w:t>
      </w:r>
    </w:p>
    <w:p w14:paraId="292D3E61" w14:textId="2CDCD9D8" w:rsidR="00245551" w:rsidRDefault="00FC6122" w:rsidP="00160915">
      <w:pPr>
        <w:pStyle w:val="ListParagraph"/>
        <w:numPr>
          <w:ilvl w:val="0"/>
          <w:numId w:val="2"/>
        </w:numPr>
      </w:pPr>
      <w:r>
        <w:t xml:space="preserve">Performance-management </w:t>
      </w:r>
    </w:p>
    <w:p w14:paraId="7D99A8A1" w14:textId="79B574A5" w:rsidR="00245551" w:rsidRDefault="00FC6122" w:rsidP="00160915">
      <w:pPr>
        <w:pStyle w:val="ListParagraph"/>
        <w:numPr>
          <w:ilvl w:val="0"/>
          <w:numId w:val="2"/>
        </w:numPr>
      </w:pPr>
      <w:r>
        <w:t xml:space="preserve">Training </w:t>
      </w:r>
    </w:p>
    <w:p w14:paraId="61A09994" w14:textId="569780BB" w:rsidR="00245551" w:rsidRDefault="00FC6122" w:rsidP="00160915">
      <w:pPr>
        <w:pStyle w:val="ListParagraph"/>
        <w:numPr>
          <w:ilvl w:val="0"/>
          <w:numId w:val="2"/>
        </w:numPr>
      </w:pPr>
      <w:r>
        <w:t xml:space="preserve">Organisation development </w:t>
      </w:r>
    </w:p>
    <w:p w14:paraId="0D8C6317" w14:textId="03706FB6" w:rsidR="00245551" w:rsidRDefault="00FC6122" w:rsidP="00160915">
      <w:pPr>
        <w:pStyle w:val="ListParagraph"/>
        <w:numPr>
          <w:ilvl w:val="0"/>
          <w:numId w:val="2"/>
        </w:numPr>
      </w:pPr>
      <w:r>
        <w:t xml:space="preserve">Media work </w:t>
      </w:r>
    </w:p>
    <w:p w14:paraId="07FE2796" w14:textId="6426CA59" w:rsidR="00B715E4" w:rsidRDefault="00FC6122" w:rsidP="00160915">
      <w:pPr>
        <w:pStyle w:val="ListParagraph"/>
        <w:numPr>
          <w:ilvl w:val="0"/>
          <w:numId w:val="2"/>
        </w:numPr>
      </w:pPr>
      <w:r>
        <w:t>Publications</w:t>
      </w:r>
    </w:p>
    <w:p w14:paraId="174AE939" w14:textId="77777777" w:rsidR="00EE1251" w:rsidRDefault="00EE1251" w:rsidP="00EE1251">
      <w:pPr>
        <w:pStyle w:val="ListParagraph"/>
        <w:numPr>
          <w:ilvl w:val="0"/>
          <w:numId w:val="2"/>
        </w:numPr>
      </w:pPr>
      <w:r>
        <w:t>Direct or Indirect lived experience of mental health problems is desirable</w:t>
      </w:r>
    </w:p>
    <w:p w14:paraId="4E6517B2" w14:textId="144C1BFF" w:rsidR="00EE1251" w:rsidRDefault="00EE1251" w:rsidP="00EE1251">
      <w:pPr>
        <w:pStyle w:val="ListParagraph"/>
        <w:numPr>
          <w:ilvl w:val="0"/>
          <w:numId w:val="2"/>
        </w:numPr>
      </w:pPr>
      <w:r>
        <w:t>Living in, or strong knowledge and networks of, Barnet and/or Enfield.</w:t>
      </w:r>
    </w:p>
    <w:sectPr w:rsidR="00EE125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9716C" w14:textId="77777777" w:rsidR="00EE474A" w:rsidRDefault="00EE474A" w:rsidP="00160915">
      <w:pPr>
        <w:spacing w:after="0" w:line="240" w:lineRule="auto"/>
      </w:pPr>
      <w:r>
        <w:separator/>
      </w:r>
    </w:p>
  </w:endnote>
  <w:endnote w:type="continuationSeparator" w:id="0">
    <w:p w14:paraId="54D421E8" w14:textId="77777777" w:rsidR="00EE474A" w:rsidRDefault="00EE474A" w:rsidP="0016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017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52BA04" w14:textId="6D634597" w:rsidR="00521CA7" w:rsidRDefault="00521C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2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6A80CF" w14:textId="47D1C3A0" w:rsidR="00521CA7" w:rsidRDefault="006522CE">
    <w:pPr>
      <w:pStyle w:val="Footer"/>
    </w:pPr>
    <w:r>
      <w:t>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5129" w14:textId="77777777" w:rsidR="00EE474A" w:rsidRDefault="00EE474A" w:rsidP="00160915">
      <w:pPr>
        <w:spacing w:after="0" w:line="240" w:lineRule="auto"/>
      </w:pPr>
      <w:r>
        <w:separator/>
      </w:r>
    </w:p>
  </w:footnote>
  <w:footnote w:type="continuationSeparator" w:id="0">
    <w:p w14:paraId="3025F5DB" w14:textId="77777777" w:rsidR="00EE474A" w:rsidRDefault="00EE474A" w:rsidP="0016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1959" w14:textId="038A57C4" w:rsidR="00160915" w:rsidRDefault="00401AAC" w:rsidP="001C0524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D55BDB6" wp14:editId="15AACD00">
          <wp:simplePos x="0" y="0"/>
          <wp:positionH relativeFrom="column">
            <wp:posOffset>5036820</wp:posOffset>
          </wp:positionH>
          <wp:positionV relativeFrom="paragraph">
            <wp:posOffset>-361950</wp:posOffset>
          </wp:positionV>
          <wp:extent cx="1524132" cy="826842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132" cy="826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DA3"/>
    <w:multiLevelType w:val="hybridMultilevel"/>
    <w:tmpl w:val="D8DAB4E8"/>
    <w:lvl w:ilvl="0" w:tplc="9994326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510337D"/>
    <w:multiLevelType w:val="hybridMultilevel"/>
    <w:tmpl w:val="0D444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84FE3"/>
    <w:multiLevelType w:val="hybridMultilevel"/>
    <w:tmpl w:val="FB047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038A7"/>
    <w:multiLevelType w:val="hybridMultilevel"/>
    <w:tmpl w:val="5ED44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22"/>
    <w:rsid w:val="00014443"/>
    <w:rsid w:val="00034A9D"/>
    <w:rsid w:val="00037131"/>
    <w:rsid w:val="00051B50"/>
    <w:rsid w:val="0008048F"/>
    <w:rsid w:val="000A1EB3"/>
    <w:rsid w:val="000B28E4"/>
    <w:rsid w:val="00115AE6"/>
    <w:rsid w:val="001600E6"/>
    <w:rsid w:val="00160915"/>
    <w:rsid w:val="0016112C"/>
    <w:rsid w:val="0018336F"/>
    <w:rsid w:val="001C0524"/>
    <w:rsid w:val="001F41EA"/>
    <w:rsid w:val="00214ECC"/>
    <w:rsid w:val="00245551"/>
    <w:rsid w:val="00261864"/>
    <w:rsid w:val="002D03B5"/>
    <w:rsid w:val="00304DB6"/>
    <w:rsid w:val="0031103C"/>
    <w:rsid w:val="0033050A"/>
    <w:rsid w:val="00331C20"/>
    <w:rsid w:val="00351060"/>
    <w:rsid w:val="003518B8"/>
    <w:rsid w:val="00401AAC"/>
    <w:rsid w:val="0044140A"/>
    <w:rsid w:val="004A5BA9"/>
    <w:rsid w:val="004D68B1"/>
    <w:rsid w:val="004E3D8C"/>
    <w:rsid w:val="005038EB"/>
    <w:rsid w:val="00504268"/>
    <w:rsid w:val="0050786E"/>
    <w:rsid w:val="0051661F"/>
    <w:rsid w:val="00521CA7"/>
    <w:rsid w:val="0053177C"/>
    <w:rsid w:val="005335A2"/>
    <w:rsid w:val="00564963"/>
    <w:rsid w:val="005F5E21"/>
    <w:rsid w:val="00601F8B"/>
    <w:rsid w:val="006522CE"/>
    <w:rsid w:val="00664498"/>
    <w:rsid w:val="00674DCF"/>
    <w:rsid w:val="00694514"/>
    <w:rsid w:val="006B2D82"/>
    <w:rsid w:val="006B7DAB"/>
    <w:rsid w:val="006C230F"/>
    <w:rsid w:val="006E4CCC"/>
    <w:rsid w:val="00736711"/>
    <w:rsid w:val="00760F5F"/>
    <w:rsid w:val="00777149"/>
    <w:rsid w:val="00797E56"/>
    <w:rsid w:val="007A6541"/>
    <w:rsid w:val="0081270E"/>
    <w:rsid w:val="00834980"/>
    <w:rsid w:val="008D5720"/>
    <w:rsid w:val="008D7B48"/>
    <w:rsid w:val="008E5D00"/>
    <w:rsid w:val="008F3017"/>
    <w:rsid w:val="00910575"/>
    <w:rsid w:val="00956218"/>
    <w:rsid w:val="00A3325B"/>
    <w:rsid w:val="00A37C5E"/>
    <w:rsid w:val="00A420DA"/>
    <w:rsid w:val="00A45648"/>
    <w:rsid w:val="00AF21C1"/>
    <w:rsid w:val="00AF7757"/>
    <w:rsid w:val="00B162B0"/>
    <w:rsid w:val="00B3697A"/>
    <w:rsid w:val="00B715E4"/>
    <w:rsid w:val="00BE45E2"/>
    <w:rsid w:val="00C42859"/>
    <w:rsid w:val="00CF0AAF"/>
    <w:rsid w:val="00D01018"/>
    <w:rsid w:val="00D310C0"/>
    <w:rsid w:val="00D50F08"/>
    <w:rsid w:val="00D857A6"/>
    <w:rsid w:val="00D93034"/>
    <w:rsid w:val="00D93FEC"/>
    <w:rsid w:val="00DA2472"/>
    <w:rsid w:val="00DE6A18"/>
    <w:rsid w:val="00DF5218"/>
    <w:rsid w:val="00E20397"/>
    <w:rsid w:val="00E25325"/>
    <w:rsid w:val="00E701C6"/>
    <w:rsid w:val="00E84398"/>
    <w:rsid w:val="00EC7A27"/>
    <w:rsid w:val="00EE1251"/>
    <w:rsid w:val="00EE474A"/>
    <w:rsid w:val="00F26BE8"/>
    <w:rsid w:val="00F27630"/>
    <w:rsid w:val="00F277A7"/>
    <w:rsid w:val="00FC6122"/>
    <w:rsid w:val="00F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76E32"/>
  <w15:chartTrackingRefBased/>
  <w15:docId w15:val="{48B338DB-04FE-451E-B1E9-5C11FA93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496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5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D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D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D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0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915"/>
  </w:style>
  <w:style w:type="paragraph" w:styleId="Footer">
    <w:name w:val="footer"/>
    <w:basedOn w:val="Normal"/>
    <w:link w:val="FooterChar"/>
    <w:uiPriority w:val="99"/>
    <w:unhideWhenUsed/>
    <w:rsid w:val="00160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915"/>
  </w:style>
  <w:style w:type="character" w:customStyle="1" w:styleId="Heading1Char">
    <w:name w:val="Heading 1 Char"/>
    <w:basedOn w:val="DefaultParagraphFont"/>
    <w:link w:val="Heading1"/>
    <w:rsid w:val="00564963"/>
    <w:rPr>
      <w:rFonts w:ascii="Arial" w:eastAsia="Times New Roman" w:hAnsi="Arial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649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6496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56496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64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6496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564963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rsid w:val="0056496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564963"/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261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C9C7F6B34364CB2394F7017F0A3A9" ma:contentTypeVersion="13" ma:contentTypeDescription="Create a new document." ma:contentTypeScope="" ma:versionID="fdf47ab73d1141142ed43dfb9bd5aa55">
  <xsd:schema xmlns:xsd="http://www.w3.org/2001/XMLSchema" xmlns:xs="http://www.w3.org/2001/XMLSchema" xmlns:p="http://schemas.microsoft.com/office/2006/metadata/properties" xmlns:ns2="d3b52b09-6ad9-4afe-a4cc-d087493ff976" xmlns:ns3="b3493a0d-2a12-4ad7-adc6-569fa4b230c8" targetNamespace="http://schemas.microsoft.com/office/2006/metadata/properties" ma:root="true" ma:fieldsID="172b0d280fee911f7648a0f231b4d029" ns2:_="" ns3:_="">
    <xsd:import namespace="d3b52b09-6ad9-4afe-a4cc-d087493ff976"/>
    <xsd:import namespace="b3493a0d-2a12-4ad7-adc6-569fa4b230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52b09-6ad9-4afe-a4cc-d087493ff9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93a0d-2a12-4ad7-adc6-569fa4b23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45E124-FF81-41A1-A919-BD807EDE8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52b09-6ad9-4afe-a4cc-d087493ff976"/>
    <ds:schemaRef ds:uri="b3493a0d-2a12-4ad7-adc6-569fa4b23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47D19-B20C-4B5B-8A15-2F017EBAF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34A1A5-06A4-41A3-924A-B9FB7C35C7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Mitchell</dc:creator>
  <cp:keywords/>
  <dc:description/>
  <cp:lastModifiedBy>Alex Tambourides</cp:lastModifiedBy>
  <cp:revision>3</cp:revision>
  <dcterms:created xsi:type="dcterms:W3CDTF">2021-12-10T14:22:00Z</dcterms:created>
  <dcterms:modified xsi:type="dcterms:W3CDTF">2021-12-10T14:22:00Z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0x0101002F3C9C7F6B34364CB2394F7017F0A3A9</vt:lpwstr>
  </property>
  <property fmtid="{D5CDD505-2E9C-101B-9397-08002B2CF9AE}" pid="3" name="Order">
    <vt:r8>19700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