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DEF8" w14:textId="2F90FE78" w:rsidR="000E3579" w:rsidRDefault="000E3579">
      <w:r>
        <w:rPr>
          <w:noProof/>
        </w:rPr>
        <w:drawing>
          <wp:anchor distT="0" distB="0" distL="114300" distR="114300" simplePos="0" relativeHeight="251658240" behindDoc="1" locked="0" layoutInCell="1" allowOverlap="1" wp14:anchorId="0564C871" wp14:editId="72F4F540">
            <wp:simplePos x="0" y="0"/>
            <wp:positionH relativeFrom="column">
              <wp:posOffset>5010150</wp:posOffset>
            </wp:positionH>
            <wp:positionV relativeFrom="paragraph">
              <wp:posOffset>-826770</wp:posOffset>
            </wp:positionV>
            <wp:extent cx="1524132" cy="826842"/>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132" cy="826842"/>
                    </a:xfrm>
                    <a:prstGeom prst="rect">
                      <a:avLst/>
                    </a:prstGeom>
                  </pic:spPr>
                </pic:pic>
              </a:graphicData>
            </a:graphic>
          </wp:anchor>
        </w:drawing>
      </w:r>
    </w:p>
    <w:p w14:paraId="007EFC1F" w14:textId="2F578BA6" w:rsidR="000E3579" w:rsidRPr="002C20F4" w:rsidRDefault="002C20F4" w:rsidP="002C20F4">
      <w:pPr>
        <w:jc w:val="center"/>
        <w:rPr>
          <w:b/>
          <w:bCs/>
        </w:rPr>
      </w:pPr>
      <w:r w:rsidRPr="002C20F4">
        <w:rPr>
          <w:b/>
          <w:bCs/>
        </w:rPr>
        <w:t>Community BAME Advocacy Service</w:t>
      </w:r>
    </w:p>
    <w:p w14:paraId="2A5FD573" w14:textId="77777777" w:rsidR="00DD252E" w:rsidRDefault="00DD252E"/>
    <w:p w14:paraId="5E5787A5" w14:textId="68BD19B6" w:rsidR="00C236DC" w:rsidRDefault="00DD252E">
      <w:r w:rsidRPr="28F5BF23">
        <w:rPr>
          <w:b/>
          <w:bCs/>
        </w:rPr>
        <w:t>Summary:</w:t>
      </w:r>
      <w:r>
        <w:t xml:space="preserve"> Mind in Enfield and Barnet</w:t>
      </w:r>
      <w:r w:rsidR="00375986">
        <w:t xml:space="preserve"> (MiEB)</w:t>
      </w:r>
      <w:r>
        <w:t xml:space="preserve"> is a leading </w:t>
      </w:r>
      <w:r w:rsidR="008F15F8">
        <w:t xml:space="preserve">VCS </w:t>
      </w:r>
      <w:r>
        <w:t>mental health provider</w:t>
      </w:r>
      <w:r w:rsidR="008C635A">
        <w:t xml:space="preserve"> that provides specialist mental health services to the residents of Barnet, Enfield and surrounding areas. </w:t>
      </w:r>
      <w:r w:rsidR="00375986">
        <w:t>MiEB is contracted</w:t>
      </w:r>
      <w:r w:rsidR="002E585C">
        <w:t>, (via NCL CCG),</w:t>
      </w:r>
      <w:r w:rsidR="00375986">
        <w:t xml:space="preserve"> to provide a number of services in Enfield via a Lead Provider model which see it </w:t>
      </w:r>
      <w:r w:rsidR="006B57CD">
        <w:t xml:space="preserve">achieve outcomes via </w:t>
      </w:r>
      <w:r w:rsidR="00375986">
        <w:t>direct provision</w:t>
      </w:r>
      <w:r w:rsidR="002843B7">
        <w:t xml:space="preserve"> and also sub-contracting</w:t>
      </w:r>
      <w:r w:rsidR="006B57CD">
        <w:t xml:space="preserve"> arrangements</w:t>
      </w:r>
      <w:r w:rsidR="002843B7">
        <w:t xml:space="preserve"> </w:t>
      </w:r>
      <w:r w:rsidR="006B57CD">
        <w:t>with</w:t>
      </w:r>
      <w:r w:rsidR="002843B7">
        <w:t xml:space="preserve"> smaller VCS organisations to achieve </w:t>
      </w:r>
      <w:r w:rsidR="002E585C">
        <w:t xml:space="preserve">a diverse range of outcomes. </w:t>
      </w:r>
      <w:r>
        <w:t xml:space="preserve"> </w:t>
      </w:r>
    </w:p>
    <w:p w14:paraId="6DCB2579" w14:textId="2C7B47C2" w:rsidR="58A769F8" w:rsidRDefault="58A769F8" w:rsidP="28F5BF23">
      <w:pPr>
        <w:rPr>
          <w:b/>
          <w:bCs/>
        </w:rPr>
      </w:pPr>
      <w:r w:rsidRPr="28F5BF23">
        <w:rPr>
          <w:b/>
          <w:bCs/>
        </w:rPr>
        <w:t>Aim of service &amp; key details:</w:t>
      </w:r>
    </w:p>
    <w:p w14:paraId="2D06F805" w14:textId="000FBDDB" w:rsidR="00E32989" w:rsidRDefault="00E32989">
      <w:r>
        <w:t>In order to address health inequalities faced by the BAME community MiEB is procuring a specialist BAME Community advocacy service with the specific remit of empowering and supporting the mental health of the BAME Community in Enfield.</w:t>
      </w:r>
      <w:r w:rsidR="4F334B8C">
        <w:t xml:space="preserve"> The full detail of the service including it’s outputs and outcomes can be found in appendix one. Key headlines include:</w:t>
      </w:r>
    </w:p>
    <w:p w14:paraId="3883C594" w14:textId="5F384423" w:rsidR="00E32989" w:rsidRDefault="4F334B8C" w:rsidP="79D0E178">
      <w:r w:rsidRPr="79D0E178">
        <w:rPr>
          <w:b/>
          <w:bCs/>
        </w:rPr>
        <w:t>Contract value:</w:t>
      </w:r>
      <w:r w:rsidR="00942B69">
        <w:t xml:space="preserve"> </w:t>
      </w:r>
      <w:r w:rsidR="00F42FAA">
        <w:t>£18,758.00</w:t>
      </w:r>
    </w:p>
    <w:p w14:paraId="4A194E66" w14:textId="292A534B" w:rsidR="00E32989" w:rsidRDefault="4F334B8C" w:rsidP="79D0E178">
      <w:r w:rsidRPr="79D0E178">
        <w:rPr>
          <w:b/>
          <w:bCs/>
        </w:rPr>
        <w:t>Contract length:</w:t>
      </w:r>
      <w:r>
        <w:t xml:space="preserve"> </w:t>
      </w:r>
      <w:r w:rsidR="00F42FAA">
        <w:t>Until March 2023</w:t>
      </w:r>
    </w:p>
    <w:p w14:paraId="39904E82" w14:textId="1F6FA50C" w:rsidR="00E32989" w:rsidRDefault="4F334B8C" w:rsidP="79D0E178">
      <w:r w:rsidRPr="79D0E178">
        <w:rPr>
          <w:b/>
          <w:bCs/>
        </w:rPr>
        <w:t>Activity:</w:t>
      </w:r>
      <w:r>
        <w:t xml:space="preserve"> </w:t>
      </w:r>
      <w:r w:rsidR="5350BE4D">
        <w:t xml:space="preserve">The provision of community advocacy services to Enfield BAME residents with mental health issues. </w:t>
      </w:r>
    </w:p>
    <w:p w14:paraId="683E31EA" w14:textId="5215BF97" w:rsidR="65C1DBB2" w:rsidRDefault="65C1DBB2" w:rsidP="79D0E178">
      <w:pPr>
        <w:rPr>
          <w:b/>
          <w:bCs/>
        </w:rPr>
      </w:pPr>
      <w:r w:rsidRPr="79D0E178">
        <w:rPr>
          <w:b/>
          <w:bCs/>
        </w:rPr>
        <w:t xml:space="preserve">Process: </w:t>
      </w:r>
    </w:p>
    <w:p w14:paraId="6BFACF78" w14:textId="7EFDE34E" w:rsidR="65C1DBB2" w:rsidRDefault="65C1DBB2" w:rsidP="79D0E178">
      <w:pPr>
        <w:pStyle w:val="ListParagraph"/>
        <w:numPr>
          <w:ilvl w:val="0"/>
          <w:numId w:val="1"/>
        </w:numPr>
      </w:pPr>
      <w:r>
        <w:t>Invitation to quote advertised</w:t>
      </w:r>
      <w:r w:rsidR="00942B69">
        <w:t xml:space="preserve">: </w:t>
      </w:r>
      <w:r w:rsidR="009D3AE9">
        <w:t>2</w:t>
      </w:r>
      <w:r w:rsidR="00FF5144">
        <w:t>6</w:t>
      </w:r>
      <w:r w:rsidR="009D3AE9">
        <w:t>/8/21</w:t>
      </w:r>
    </w:p>
    <w:p w14:paraId="13AE7DE9" w14:textId="52F0199E" w:rsidR="65C1DBB2" w:rsidRDefault="65C1DBB2" w:rsidP="79D0E178">
      <w:pPr>
        <w:pStyle w:val="ListParagraph"/>
        <w:numPr>
          <w:ilvl w:val="0"/>
          <w:numId w:val="1"/>
        </w:numPr>
      </w:pPr>
      <w:r>
        <w:t>Deadline for applications</w:t>
      </w:r>
      <w:r w:rsidR="00942B69">
        <w:t xml:space="preserve">: </w:t>
      </w:r>
      <w:r w:rsidR="00F61E78">
        <w:t>9</w:t>
      </w:r>
      <w:r w:rsidR="009D3AE9">
        <w:t>/9/21</w:t>
      </w:r>
    </w:p>
    <w:p w14:paraId="4C970D86" w14:textId="7D8DCAFF" w:rsidR="65C1DBB2" w:rsidRDefault="65C1DBB2" w:rsidP="79D0E178">
      <w:pPr>
        <w:pStyle w:val="ListParagraph"/>
        <w:numPr>
          <w:ilvl w:val="0"/>
          <w:numId w:val="1"/>
        </w:numPr>
      </w:pPr>
      <w:r>
        <w:t>Decision made</w:t>
      </w:r>
      <w:r w:rsidR="00942B69">
        <w:t xml:space="preserve">: </w:t>
      </w:r>
      <w:r w:rsidR="00F61E78">
        <w:t>10</w:t>
      </w:r>
      <w:r w:rsidR="009D3AE9">
        <w:t>/9/21</w:t>
      </w:r>
    </w:p>
    <w:p w14:paraId="1A08D9BD" w14:textId="4206CB7D" w:rsidR="65C1DBB2" w:rsidRDefault="65C1DBB2" w:rsidP="79D0E178">
      <w:pPr>
        <w:pStyle w:val="ListParagraph"/>
        <w:numPr>
          <w:ilvl w:val="0"/>
          <w:numId w:val="1"/>
        </w:numPr>
      </w:pPr>
      <w:r>
        <w:t>Award to subcontractor</w:t>
      </w:r>
      <w:r w:rsidR="00942B69">
        <w:t xml:space="preserve">: </w:t>
      </w:r>
      <w:r w:rsidR="00F61E78">
        <w:t>13</w:t>
      </w:r>
      <w:r w:rsidR="009D3AE9">
        <w:t>/9/2</w:t>
      </w:r>
      <w:r w:rsidR="00942B69">
        <w:t>1</w:t>
      </w:r>
    </w:p>
    <w:p w14:paraId="5CA9D04E" w14:textId="6F80082F" w:rsidR="65C1DBB2" w:rsidRDefault="65C1DBB2" w:rsidP="79D0E178">
      <w:pPr>
        <w:pStyle w:val="ListParagraph"/>
        <w:numPr>
          <w:ilvl w:val="0"/>
          <w:numId w:val="1"/>
        </w:numPr>
      </w:pPr>
      <w:r>
        <w:t>Service</w:t>
      </w:r>
      <w:r w:rsidR="005A31BA">
        <w:t xml:space="preserve"> Mobilisation</w:t>
      </w:r>
      <w:r w:rsidR="00942B69">
        <w:t xml:space="preserve">: </w:t>
      </w:r>
      <w:r w:rsidR="0021199D">
        <w:t>20</w:t>
      </w:r>
      <w:r w:rsidR="009D3AE9">
        <w:t>/</w:t>
      </w:r>
      <w:r w:rsidR="0021199D">
        <w:t>9</w:t>
      </w:r>
      <w:r w:rsidR="009D3AE9">
        <w:t>/21</w:t>
      </w:r>
    </w:p>
    <w:p w14:paraId="640A282C" w14:textId="4840D58F" w:rsidR="65C1DBB2" w:rsidRDefault="65C1DBB2" w:rsidP="79D0E178">
      <w:r>
        <w:t>If you are interested in working with us to provide this service please answer the application questions below in line with the service specification.</w:t>
      </w:r>
    </w:p>
    <w:p w14:paraId="6C1A9EA7" w14:textId="6729BB61" w:rsidR="79D0E178" w:rsidRDefault="79D0E178" w:rsidP="79D0E178"/>
    <w:p w14:paraId="537C6CE6" w14:textId="7E0A85DC" w:rsidR="79D0E178" w:rsidRDefault="79D0E178" w:rsidP="79D0E178"/>
    <w:p w14:paraId="26AA7C9F" w14:textId="20C24342" w:rsidR="79D0E178" w:rsidRDefault="79D0E178" w:rsidP="79D0E178"/>
    <w:p w14:paraId="09D51E7A" w14:textId="32C0CDB5" w:rsidR="79D0E178" w:rsidRDefault="79D0E178" w:rsidP="79D0E178"/>
    <w:p w14:paraId="09451D41" w14:textId="366C11EA" w:rsidR="79D0E178" w:rsidRDefault="79D0E178" w:rsidP="79D0E178"/>
    <w:p w14:paraId="09826F25" w14:textId="276C6825" w:rsidR="79D0E178" w:rsidRDefault="79D0E178" w:rsidP="79D0E178"/>
    <w:p w14:paraId="2B295532" w14:textId="652742D5" w:rsidR="79D0E178" w:rsidRDefault="79D0E178" w:rsidP="79D0E178"/>
    <w:p w14:paraId="569CEF93" w14:textId="2E3D33F9" w:rsidR="79D0E178" w:rsidRDefault="79D0E178" w:rsidP="79D0E178"/>
    <w:p w14:paraId="152C9FEA" w14:textId="19A3AD26" w:rsidR="79D0E178" w:rsidRDefault="79D0E178" w:rsidP="79D0E178"/>
    <w:p w14:paraId="1B043CEE" w14:textId="54FB57EF" w:rsidR="79D0E178" w:rsidRDefault="79D0E178" w:rsidP="79D0E178"/>
    <w:p w14:paraId="1CB9D403" w14:textId="0CD92A36" w:rsidR="79D0E178" w:rsidRDefault="79D0E178" w:rsidP="79D0E178"/>
    <w:p w14:paraId="7537DCAA" w14:textId="02F8A4D0" w:rsidR="79D0E178" w:rsidRDefault="009F37AA" w:rsidP="79D0E178">
      <w:r>
        <w:rPr>
          <w:noProof/>
        </w:rPr>
        <w:lastRenderedPageBreak/>
        <w:drawing>
          <wp:anchor distT="0" distB="0" distL="114300" distR="114300" simplePos="0" relativeHeight="251672576" behindDoc="1" locked="0" layoutInCell="1" allowOverlap="1" wp14:anchorId="17D772BE" wp14:editId="74700FF6">
            <wp:simplePos x="0" y="0"/>
            <wp:positionH relativeFrom="column">
              <wp:posOffset>5013960</wp:posOffset>
            </wp:positionH>
            <wp:positionV relativeFrom="paragraph">
              <wp:posOffset>-750570</wp:posOffset>
            </wp:positionV>
            <wp:extent cx="1524132" cy="826842"/>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132" cy="826842"/>
                    </a:xfrm>
                    <a:prstGeom prst="rect">
                      <a:avLst/>
                    </a:prstGeom>
                  </pic:spPr>
                </pic:pic>
              </a:graphicData>
            </a:graphic>
          </wp:anchor>
        </w:drawing>
      </w:r>
    </w:p>
    <w:p w14:paraId="3DA7FE02" w14:textId="015698F8" w:rsidR="79D0E178" w:rsidRDefault="79D0E178" w:rsidP="79D0E178"/>
    <w:p w14:paraId="31C4503C" w14:textId="5346E131" w:rsidR="006B57CD" w:rsidRDefault="006B57CD"/>
    <w:p w14:paraId="6139F502" w14:textId="7D86C4F8" w:rsidR="006B57CD" w:rsidRDefault="65C1DBB2" w:rsidP="79D0E178">
      <w:pPr>
        <w:jc w:val="center"/>
        <w:rPr>
          <w:b/>
          <w:bCs/>
        </w:rPr>
      </w:pPr>
      <w:r w:rsidRPr="79D0E178">
        <w:rPr>
          <w:b/>
          <w:bCs/>
        </w:rPr>
        <w:t>MiEB BAME Community Advocacy Quote Application</w:t>
      </w:r>
    </w:p>
    <w:p w14:paraId="4F816BB6" w14:textId="77777777" w:rsidR="007F1EFA" w:rsidRDefault="007F1EFA" w:rsidP="007F1EFA">
      <w:pPr>
        <w:rPr>
          <w:b/>
          <w:bCs/>
        </w:rPr>
      </w:pPr>
    </w:p>
    <w:p w14:paraId="395441B0" w14:textId="6AD76157" w:rsidR="007F1EFA" w:rsidRDefault="007F1EFA" w:rsidP="007F1EFA">
      <w:pPr>
        <w:rPr>
          <w:b/>
          <w:bCs/>
        </w:rPr>
      </w:pPr>
      <w:r>
        <w:rPr>
          <w:b/>
          <w:bCs/>
        </w:rPr>
        <w:t>Technical Questions:</w:t>
      </w:r>
    </w:p>
    <w:p w14:paraId="134B0092" w14:textId="77777777" w:rsidR="007F1EFA" w:rsidRDefault="007F1EFA" w:rsidP="007F1EFA">
      <w:pPr>
        <w:rPr>
          <w:b/>
          <w:bCs/>
        </w:rPr>
      </w:pPr>
    </w:p>
    <w:tbl>
      <w:tblPr>
        <w:tblStyle w:val="TableGrid"/>
        <w:tblW w:w="9918" w:type="dxa"/>
        <w:tblLook w:val="04A0" w:firstRow="1" w:lastRow="0" w:firstColumn="1" w:lastColumn="0" w:noHBand="0" w:noVBand="1"/>
      </w:tblPr>
      <w:tblGrid>
        <w:gridCol w:w="1397"/>
        <w:gridCol w:w="2851"/>
        <w:gridCol w:w="4640"/>
        <w:gridCol w:w="1030"/>
      </w:tblGrid>
      <w:tr w:rsidR="00DA47A2" w14:paraId="4218A754" w14:textId="54B48E00" w:rsidTr="00DA47A2">
        <w:trPr>
          <w:trHeight w:val="392"/>
        </w:trPr>
        <w:tc>
          <w:tcPr>
            <w:tcW w:w="1397" w:type="dxa"/>
          </w:tcPr>
          <w:p w14:paraId="2BA284C8" w14:textId="418F7427" w:rsidR="00A03B3C" w:rsidRDefault="00A03B3C" w:rsidP="007F1EFA">
            <w:pPr>
              <w:rPr>
                <w:b/>
                <w:bCs/>
              </w:rPr>
            </w:pPr>
            <w:r>
              <w:rPr>
                <w:b/>
                <w:bCs/>
              </w:rPr>
              <w:t>Area</w:t>
            </w:r>
          </w:p>
        </w:tc>
        <w:tc>
          <w:tcPr>
            <w:tcW w:w="2851" w:type="dxa"/>
          </w:tcPr>
          <w:p w14:paraId="14CCB21E" w14:textId="0347B762" w:rsidR="00A03B3C" w:rsidRDefault="00A03B3C" w:rsidP="007F1EFA">
            <w:pPr>
              <w:rPr>
                <w:b/>
                <w:bCs/>
              </w:rPr>
            </w:pPr>
            <w:r>
              <w:rPr>
                <w:b/>
                <w:bCs/>
              </w:rPr>
              <w:t>Question</w:t>
            </w:r>
          </w:p>
        </w:tc>
        <w:tc>
          <w:tcPr>
            <w:tcW w:w="4640" w:type="dxa"/>
          </w:tcPr>
          <w:p w14:paraId="0BD9EAFD" w14:textId="0A463413" w:rsidR="00A03B3C" w:rsidRDefault="00DA47A2" w:rsidP="007F1EFA">
            <w:pPr>
              <w:rPr>
                <w:b/>
                <w:bCs/>
              </w:rPr>
            </w:pPr>
            <w:r>
              <w:rPr>
                <w:b/>
                <w:bCs/>
              </w:rPr>
              <w:t>Information</w:t>
            </w:r>
          </w:p>
        </w:tc>
        <w:tc>
          <w:tcPr>
            <w:tcW w:w="1030" w:type="dxa"/>
          </w:tcPr>
          <w:p w14:paraId="2DB87D07" w14:textId="56FEB1C6" w:rsidR="00A03B3C" w:rsidRDefault="00DA47A2" w:rsidP="007F1EFA">
            <w:pPr>
              <w:rPr>
                <w:b/>
                <w:bCs/>
              </w:rPr>
            </w:pPr>
            <w:r>
              <w:rPr>
                <w:b/>
                <w:bCs/>
              </w:rPr>
              <w:t>Pass/Fail</w:t>
            </w:r>
          </w:p>
        </w:tc>
      </w:tr>
      <w:tr w:rsidR="00DA47A2" w14:paraId="4BE99C89" w14:textId="58D3867C" w:rsidTr="00DA47A2">
        <w:trPr>
          <w:trHeight w:val="1294"/>
        </w:trPr>
        <w:tc>
          <w:tcPr>
            <w:tcW w:w="1397" w:type="dxa"/>
          </w:tcPr>
          <w:p w14:paraId="19E61E8F" w14:textId="77777777" w:rsidR="00A03B3C" w:rsidRDefault="00A03B3C" w:rsidP="007F1EFA">
            <w:pPr>
              <w:rPr>
                <w:b/>
                <w:bCs/>
              </w:rPr>
            </w:pPr>
            <w:r>
              <w:rPr>
                <w:b/>
                <w:bCs/>
              </w:rPr>
              <w:t>Governance:</w:t>
            </w:r>
          </w:p>
          <w:p w14:paraId="007A7770" w14:textId="65D57DA4" w:rsidR="00A03B3C" w:rsidRDefault="00A03B3C" w:rsidP="007F1EFA">
            <w:pPr>
              <w:rPr>
                <w:b/>
                <w:bCs/>
              </w:rPr>
            </w:pPr>
            <w:r>
              <w:rPr>
                <w:b/>
                <w:bCs/>
              </w:rPr>
              <w:t>You must be a registered Charity, a CIC or CIO</w:t>
            </w:r>
          </w:p>
        </w:tc>
        <w:tc>
          <w:tcPr>
            <w:tcW w:w="2851" w:type="dxa"/>
          </w:tcPr>
          <w:p w14:paraId="7544AC25" w14:textId="39D650F2" w:rsidR="00A03B3C" w:rsidRPr="00BE58BE" w:rsidRDefault="00A03B3C" w:rsidP="007F1EFA">
            <w:r w:rsidRPr="00BE58BE">
              <w:t>Please let us know your status and the relevant registration number</w:t>
            </w:r>
          </w:p>
        </w:tc>
        <w:tc>
          <w:tcPr>
            <w:tcW w:w="4640" w:type="dxa"/>
          </w:tcPr>
          <w:p w14:paraId="01C678B2" w14:textId="58700C6D" w:rsidR="00A03B3C" w:rsidRPr="00BE58BE" w:rsidRDefault="00A03B3C" w:rsidP="007F1EFA"/>
        </w:tc>
        <w:tc>
          <w:tcPr>
            <w:tcW w:w="1030" w:type="dxa"/>
          </w:tcPr>
          <w:p w14:paraId="45DB2F2B" w14:textId="77777777" w:rsidR="00A03B3C" w:rsidRPr="00BE58BE" w:rsidRDefault="00A03B3C" w:rsidP="007F1EFA"/>
        </w:tc>
      </w:tr>
      <w:tr w:rsidR="00DA47A2" w14:paraId="6BA51AD5" w14:textId="79DB9581" w:rsidTr="00DA47A2">
        <w:trPr>
          <w:trHeight w:val="260"/>
        </w:trPr>
        <w:tc>
          <w:tcPr>
            <w:tcW w:w="1397" w:type="dxa"/>
          </w:tcPr>
          <w:p w14:paraId="5C271D91" w14:textId="2CCFF017" w:rsidR="00A03B3C" w:rsidRDefault="00A03B3C" w:rsidP="007F1EFA">
            <w:pPr>
              <w:rPr>
                <w:b/>
                <w:bCs/>
              </w:rPr>
            </w:pPr>
            <w:r>
              <w:rPr>
                <w:b/>
                <w:bCs/>
              </w:rPr>
              <w:t>Finance</w:t>
            </w:r>
          </w:p>
        </w:tc>
        <w:tc>
          <w:tcPr>
            <w:tcW w:w="2851" w:type="dxa"/>
          </w:tcPr>
          <w:p w14:paraId="63A62FCC" w14:textId="756160FA" w:rsidR="00A03B3C" w:rsidRPr="00BE58BE" w:rsidRDefault="00A03B3C" w:rsidP="007F1EFA">
            <w:r w:rsidRPr="00BE58BE">
              <w:t>Please send us your last set of publicly available accounts</w:t>
            </w:r>
          </w:p>
        </w:tc>
        <w:tc>
          <w:tcPr>
            <w:tcW w:w="4640" w:type="dxa"/>
          </w:tcPr>
          <w:p w14:paraId="542C1383" w14:textId="5D998C09" w:rsidR="00A03B3C" w:rsidRPr="00BE58BE" w:rsidRDefault="00A03B3C" w:rsidP="007F1EFA"/>
        </w:tc>
        <w:tc>
          <w:tcPr>
            <w:tcW w:w="1030" w:type="dxa"/>
          </w:tcPr>
          <w:p w14:paraId="78037F0E" w14:textId="77777777" w:rsidR="00A03B3C" w:rsidRPr="00BE58BE" w:rsidRDefault="00A03B3C" w:rsidP="007F1EFA"/>
        </w:tc>
      </w:tr>
      <w:tr w:rsidR="00DA47A2" w14:paraId="25F509EB" w14:textId="788DB406" w:rsidTr="00DA47A2">
        <w:trPr>
          <w:trHeight w:val="516"/>
        </w:trPr>
        <w:tc>
          <w:tcPr>
            <w:tcW w:w="1397" w:type="dxa"/>
          </w:tcPr>
          <w:p w14:paraId="380360BB" w14:textId="0B4C7334" w:rsidR="00A03B3C" w:rsidRDefault="00A03B3C" w:rsidP="007F1EFA">
            <w:pPr>
              <w:rPr>
                <w:b/>
                <w:bCs/>
              </w:rPr>
            </w:pPr>
            <w:r>
              <w:rPr>
                <w:b/>
                <w:bCs/>
              </w:rPr>
              <w:t>References</w:t>
            </w:r>
          </w:p>
        </w:tc>
        <w:tc>
          <w:tcPr>
            <w:tcW w:w="2851" w:type="dxa"/>
          </w:tcPr>
          <w:p w14:paraId="74A2A971" w14:textId="3774F2E4" w:rsidR="00A03B3C" w:rsidRPr="00BE58BE" w:rsidRDefault="00A03B3C" w:rsidP="007F1EFA">
            <w:r w:rsidRPr="00BE58BE">
              <w:t>Please provide us with contact details of two references that you have held contracts/sub-contracts with for the delivery of similar services.</w:t>
            </w:r>
          </w:p>
        </w:tc>
        <w:tc>
          <w:tcPr>
            <w:tcW w:w="4640" w:type="dxa"/>
          </w:tcPr>
          <w:p w14:paraId="507534F2" w14:textId="669E1853" w:rsidR="00A03B3C" w:rsidRPr="00BE58BE" w:rsidRDefault="00A03B3C" w:rsidP="007F1EFA"/>
        </w:tc>
        <w:tc>
          <w:tcPr>
            <w:tcW w:w="1030" w:type="dxa"/>
          </w:tcPr>
          <w:p w14:paraId="6F4037F2" w14:textId="77777777" w:rsidR="00A03B3C" w:rsidRPr="00BE58BE" w:rsidRDefault="00A03B3C" w:rsidP="007F1EFA"/>
        </w:tc>
      </w:tr>
      <w:tr w:rsidR="00DA47A2" w14:paraId="6F3EF48D" w14:textId="66457765" w:rsidTr="00DA47A2">
        <w:trPr>
          <w:trHeight w:val="516"/>
        </w:trPr>
        <w:tc>
          <w:tcPr>
            <w:tcW w:w="1397" w:type="dxa"/>
          </w:tcPr>
          <w:p w14:paraId="448A4E0B" w14:textId="5D1CA47C" w:rsidR="00A03B3C" w:rsidRDefault="00A03B3C" w:rsidP="007F1EFA">
            <w:pPr>
              <w:rPr>
                <w:b/>
                <w:bCs/>
              </w:rPr>
            </w:pPr>
            <w:r>
              <w:rPr>
                <w:b/>
                <w:bCs/>
              </w:rPr>
              <w:t>Performance</w:t>
            </w:r>
          </w:p>
        </w:tc>
        <w:tc>
          <w:tcPr>
            <w:tcW w:w="2851" w:type="dxa"/>
          </w:tcPr>
          <w:p w14:paraId="08E0D564" w14:textId="025F6A88" w:rsidR="00A03B3C" w:rsidRPr="00BE58BE" w:rsidRDefault="00A03B3C" w:rsidP="007F1EFA">
            <w:r w:rsidRPr="00BE58BE">
              <w:t>Has your organisation had to (in the last 5 years) return/end a contract due to failure to deliver</w:t>
            </w:r>
          </w:p>
        </w:tc>
        <w:tc>
          <w:tcPr>
            <w:tcW w:w="4640" w:type="dxa"/>
          </w:tcPr>
          <w:p w14:paraId="6242775B" w14:textId="5A1806EF" w:rsidR="00A03B3C" w:rsidRPr="00BE58BE" w:rsidRDefault="00A03B3C" w:rsidP="007F1EFA"/>
        </w:tc>
        <w:tc>
          <w:tcPr>
            <w:tcW w:w="1030" w:type="dxa"/>
          </w:tcPr>
          <w:p w14:paraId="12023C07" w14:textId="77777777" w:rsidR="00A03B3C" w:rsidRPr="00BE58BE" w:rsidRDefault="00A03B3C" w:rsidP="007F1EFA"/>
        </w:tc>
      </w:tr>
      <w:tr w:rsidR="00DA47A2" w14:paraId="51C41CFF" w14:textId="56955D7F" w:rsidTr="00DA47A2">
        <w:trPr>
          <w:trHeight w:val="516"/>
        </w:trPr>
        <w:tc>
          <w:tcPr>
            <w:tcW w:w="1397" w:type="dxa"/>
          </w:tcPr>
          <w:p w14:paraId="5D38B790" w14:textId="4F377FAA" w:rsidR="00A03B3C" w:rsidRDefault="00A03B3C" w:rsidP="007F1EFA">
            <w:pPr>
              <w:rPr>
                <w:b/>
                <w:bCs/>
              </w:rPr>
            </w:pPr>
            <w:r>
              <w:rPr>
                <w:b/>
                <w:bCs/>
              </w:rPr>
              <w:t>Integrity</w:t>
            </w:r>
          </w:p>
        </w:tc>
        <w:tc>
          <w:tcPr>
            <w:tcW w:w="2851" w:type="dxa"/>
          </w:tcPr>
          <w:p w14:paraId="63E6F058" w14:textId="527431F7" w:rsidR="00A03B3C" w:rsidRPr="00BE58BE" w:rsidRDefault="00A03B3C" w:rsidP="007F1EFA">
            <w:r w:rsidRPr="00BE58BE">
              <w:t>Has your organisation been found to have breached the equalities act or been deemed in an employment tribunal to have discriminated against an employee?</w:t>
            </w:r>
          </w:p>
        </w:tc>
        <w:tc>
          <w:tcPr>
            <w:tcW w:w="4640" w:type="dxa"/>
          </w:tcPr>
          <w:p w14:paraId="413714F0" w14:textId="66CEF668" w:rsidR="00A03B3C" w:rsidRPr="00BE58BE" w:rsidRDefault="00A03B3C" w:rsidP="007F1EFA"/>
        </w:tc>
        <w:tc>
          <w:tcPr>
            <w:tcW w:w="1030" w:type="dxa"/>
          </w:tcPr>
          <w:p w14:paraId="3B30B6BD" w14:textId="77777777" w:rsidR="00A03B3C" w:rsidRPr="00BE58BE" w:rsidRDefault="00A03B3C" w:rsidP="007F1EFA"/>
        </w:tc>
      </w:tr>
    </w:tbl>
    <w:p w14:paraId="1EE16E3D" w14:textId="77777777" w:rsidR="007F1EFA" w:rsidRDefault="007F1EFA" w:rsidP="007F1EFA">
      <w:pPr>
        <w:rPr>
          <w:b/>
          <w:bCs/>
        </w:rPr>
      </w:pPr>
    </w:p>
    <w:p w14:paraId="783BCBC9" w14:textId="5F330AE7" w:rsidR="00170444" w:rsidRDefault="00937FA3" w:rsidP="007F1EFA">
      <w:pPr>
        <w:rPr>
          <w:b/>
          <w:bCs/>
        </w:rPr>
      </w:pPr>
      <w:r>
        <w:rPr>
          <w:b/>
          <w:bCs/>
        </w:rPr>
        <w:t>Question</w:t>
      </w:r>
      <w:r w:rsidR="006B4FB5">
        <w:rPr>
          <w:b/>
          <w:bCs/>
        </w:rPr>
        <w:t xml:space="preserve"> scoring system:</w:t>
      </w:r>
    </w:p>
    <w:tbl>
      <w:tblPr>
        <w:tblW w:w="9629" w:type="dxa"/>
        <w:tblCellMar>
          <w:left w:w="0" w:type="dxa"/>
          <w:right w:w="0" w:type="dxa"/>
        </w:tblCellMar>
        <w:tblLook w:val="04A0" w:firstRow="1" w:lastRow="0" w:firstColumn="1" w:lastColumn="0" w:noHBand="0" w:noVBand="1"/>
      </w:tblPr>
      <w:tblGrid>
        <w:gridCol w:w="1040"/>
        <w:gridCol w:w="8589"/>
      </w:tblGrid>
      <w:tr w:rsidR="006B4FB5" w:rsidRPr="006B4FB5" w14:paraId="65CAA848" w14:textId="77777777" w:rsidTr="00816873">
        <w:trPr>
          <w:trHeight w:val="341"/>
        </w:trPr>
        <w:tc>
          <w:tcPr>
            <w:tcW w:w="1040" w:type="dxa"/>
            <w:tcBorders>
              <w:top w:val="single" w:sz="8" w:space="0" w:color="000000"/>
              <w:left w:val="single" w:sz="8" w:space="0" w:color="000000"/>
              <w:bottom w:val="single" w:sz="8" w:space="0" w:color="000000"/>
              <w:right w:val="single" w:sz="8" w:space="0" w:color="000000"/>
            </w:tcBorders>
            <w:shd w:val="clear" w:color="auto" w:fill="D9D9D9"/>
            <w:tcMar>
              <w:top w:w="0" w:type="dxa"/>
              <w:left w:w="51" w:type="dxa"/>
              <w:bottom w:w="0" w:type="dxa"/>
              <w:right w:w="51" w:type="dxa"/>
            </w:tcMar>
            <w:vAlign w:val="center"/>
            <w:hideMark/>
          </w:tcPr>
          <w:p w14:paraId="5EB42F04"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p>
        </w:tc>
        <w:tc>
          <w:tcPr>
            <w:tcW w:w="8589" w:type="dxa"/>
            <w:tcBorders>
              <w:top w:val="single" w:sz="8" w:space="0" w:color="000000"/>
              <w:left w:val="nil"/>
              <w:bottom w:val="single" w:sz="8" w:space="0" w:color="000000"/>
              <w:right w:val="single" w:sz="8" w:space="0" w:color="000000"/>
            </w:tcBorders>
            <w:shd w:val="clear" w:color="auto" w:fill="D9D9D9"/>
            <w:tcMar>
              <w:top w:w="0" w:type="dxa"/>
              <w:left w:w="51" w:type="dxa"/>
              <w:bottom w:w="0" w:type="dxa"/>
              <w:right w:w="51" w:type="dxa"/>
            </w:tcMar>
            <w:vAlign w:val="center"/>
            <w:hideMark/>
          </w:tcPr>
          <w:p w14:paraId="417CA4CA"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b/>
                <w:bCs/>
                <w:sz w:val="24"/>
                <w:szCs w:val="24"/>
                <w:lang w:eastAsia="en-GB"/>
              </w:rPr>
              <w:t>Definition</w:t>
            </w:r>
          </w:p>
        </w:tc>
      </w:tr>
      <w:tr w:rsidR="006B4FB5" w:rsidRPr="006B4FB5" w14:paraId="319C861C" w14:textId="77777777" w:rsidTr="00816873">
        <w:trPr>
          <w:trHeight w:val="341"/>
        </w:trPr>
        <w:tc>
          <w:tcPr>
            <w:tcW w:w="1040" w:type="dxa"/>
            <w:tcBorders>
              <w:top w:val="nil"/>
              <w:left w:val="single" w:sz="8" w:space="0" w:color="000000"/>
              <w:bottom w:val="single" w:sz="8" w:space="0" w:color="000000"/>
              <w:right w:val="single" w:sz="8" w:space="0" w:color="000000"/>
            </w:tcBorders>
            <w:tcMar>
              <w:top w:w="0" w:type="dxa"/>
              <w:left w:w="51" w:type="dxa"/>
              <w:bottom w:w="0" w:type="dxa"/>
              <w:right w:w="51" w:type="dxa"/>
            </w:tcMar>
            <w:vAlign w:val="center"/>
            <w:hideMark/>
          </w:tcPr>
          <w:p w14:paraId="2AA6B643"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0</w:t>
            </w:r>
          </w:p>
        </w:tc>
        <w:tc>
          <w:tcPr>
            <w:tcW w:w="8589" w:type="dxa"/>
            <w:tcBorders>
              <w:top w:val="nil"/>
              <w:left w:val="nil"/>
              <w:bottom w:val="single" w:sz="8" w:space="0" w:color="000000"/>
              <w:right w:val="single" w:sz="8" w:space="0" w:color="000000"/>
            </w:tcBorders>
            <w:tcMar>
              <w:top w:w="0" w:type="dxa"/>
              <w:left w:w="51" w:type="dxa"/>
              <w:bottom w:w="0" w:type="dxa"/>
              <w:right w:w="51" w:type="dxa"/>
            </w:tcMar>
            <w:vAlign w:val="center"/>
            <w:hideMark/>
          </w:tcPr>
          <w:p w14:paraId="58AAF597"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Unacceptable – no evidence provided</w:t>
            </w:r>
          </w:p>
        </w:tc>
      </w:tr>
      <w:tr w:rsidR="006B4FB5" w:rsidRPr="006B4FB5" w14:paraId="25044243" w14:textId="77777777" w:rsidTr="00816873">
        <w:trPr>
          <w:trHeight w:val="341"/>
        </w:trPr>
        <w:tc>
          <w:tcPr>
            <w:tcW w:w="1040" w:type="dxa"/>
            <w:tcBorders>
              <w:top w:val="nil"/>
              <w:left w:val="single" w:sz="8" w:space="0" w:color="000000"/>
              <w:bottom w:val="single" w:sz="8" w:space="0" w:color="000000"/>
              <w:right w:val="single" w:sz="8" w:space="0" w:color="000000"/>
            </w:tcBorders>
            <w:tcMar>
              <w:top w:w="0" w:type="dxa"/>
              <w:left w:w="51" w:type="dxa"/>
              <w:bottom w:w="0" w:type="dxa"/>
              <w:right w:w="51" w:type="dxa"/>
            </w:tcMar>
            <w:vAlign w:val="center"/>
            <w:hideMark/>
          </w:tcPr>
          <w:p w14:paraId="5CD1BB5C"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1</w:t>
            </w:r>
          </w:p>
        </w:tc>
        <w:tc>
          <w:tcPr>
            <w:tcW w:w="8589" w:type="dxa"/>
            <w:tcBorders>
              <w:top w:val="nil"/>
              <w:left w:val="nil"/>
              <w:bottom w:val="single" w:sz="8" w:space="0" w:color="000000"/>
              <w:right w:val="single" w:sz="8" w:space="0" w:color="000000"/>
            </w:tcBorders>
            <w:tcMar>
              <w:top w:w="0" w:type="dxa"/>
              <w:left w:w="51" w:type="dxa"/>
              <w:bottom w:w="0" w:type="dxa"/>
              <w:right w:w="51" w:type="dxa"/>
            </w:tcMar>
            <w:vAlign w:val="center"/>
            <w:hideMark/>
          </w:tcPr>
          <w:p w14:paraId="750D946E"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Poor – evidence provides little confidence and is below expectations</w:t>
            </w:r>
          </w:p>
        </w:tc>
      </w:tr>
      <w:tr w:rsidR="006B4FB5" w:rsidRPr="006B4FB5" w14:paraId="06A07BFE" w14:textId="77777777" w:rsidTr="00816873">
        <w:trPr>
          <w:trHeight w:val="341"/>
        </w:trPr>
        <w:tc>
          <w:tcPr>
            <w:tcW w:w="1040" w:type="dxa"/>
            <w:tcBorders>
              <w:top w:val="nil"/>
              <w:left w:val="single" w:sz="8" w:space="0" w:color="000000"/>
              <w:bottom w:val="single" w:sz="8" w:space="0" w:color="000000"/>
              <w:right w:val="single" w:sz="8" w:space="0" w:color="000000"/>
            </w:tcBorders>
            <w:tcMar>
              <w:top w:w="0" w:type="dxa"/>
              <w:left w:w="51" w:type="dxa"/>
              <w:bottom w:w="0" w:type="dxa"/>
              <w:right w:w="51" w:type="dxa"/>
            </w:tcMar>
            <w:vAlign w:val="center"/>
            <w:hideMark/>
          </w:tcPr>
          <w:p w14:paraId="2F6ED963"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2</w:t>
            </w:r>
          </w:p>
        </w:tc>
        <w:tc>
          <w:tcPr>
            <w:tcW w:w="8589" w:type="dxa"/>
            <w:tcBorders>
              <w:top w:val="nil"/>
              <w:left w:val="nil"/>
              <w:bottom w:val="single" w:sz="8" w:space="0" w:color="000000"/>
              <w:right w:val="single" w:sz="8" w:space="0" w:color="000000"/>
            </w:tcBorders>
            <w:tcMar>
              <w:top w:w="0" w:type="dxa"/>
              <w:left w:w="51" w:type="dxa"/>
              <w:bottom w:w="0" w:type="dxa"/>
              <w:right w:w="51" w:type="dxa"/>
            </w:tcMar>
            <w:vAlign w:val="center"/>
            <w:hideMark/>
          </w:tcPr>
          <w:p w14:paraId="4A9664A9"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Satisfactory and meets expectations</w:t>
            </w:r>
          </w:p>
        </w:tc>
      </w:tr>
      <w:tr w:rsidR="006B4FB5" w:rsidRPr="006B4FB5" w14:paraId="49DCB394" w14:textId="77777777" w:rsidTr="00816873">
        <w:trPr>
          <w:trHeight w:val="341"/>
        </w:trPr>
        <w:tc>
          <w:tcPr>
            <w:tcW w:w="1040" w:type="dxa"/>
            <w:tcBorders>
              <w:top w:val="nil"/>
              <w:left w:val="single" w:sz="8" w:space="0" w:color="000000"/>
              <w:bottom w:val="single" w:sz="8" w:space="0" w:color="000000"/>
              <w:right w:val="single" w:sz="8" w:space="0" w:color="000000"/>
            </w:tcBorders>
            <w:tcMar>
              <w:top w:w="0" w:type="dxa"/>
              <w:left w:w="51" w:type="dxa"/>
              <w:bottom w:w="0" w:type="dxa"/>
              <w:right w:w="51" w:type="dxa"/>
            </w:tcMar>
            <w:vAlign w:val="center"/>
            <w:hideMark/>
          </w:tcPr>
          <w:p w14:paraId="55C17585"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3</w:t>
            </w:r>
          </w:p>
        </w:tc>
        <w:tc>
          <w:tcPr>
            <w:tcW w:w="8589" w:type="dxa"/>
            <w:tcBorders>
              <w:top w:val="nil"/>
              <w:left w:val="nil"/>
              <w:bottom w:val="single" w:sz="8" w:space="0" w:color="000000"/>
              <w:right w:val="single" w:sz="8" w:space="0" w:color="000000"/>
            </w:tcBorders>
            <w:tcMar>
              <w:top w:w="0" w:type="dxa"/>
              <w:left w:w="51" w:type="dxa"/>
              <w:bottom w:w="0" w:type="dxa"/>
              <w:right w:w="51" w:type="dxa"/>
            </w:tcMar>
            <w:vAlign w:val="center"/>
            <w:hideMark/>
          </w:tcPr>
          <w:p w14:paraId="79C65CA2"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Good – evidence provides full confidence standard will be met with full description and evidence of implementation</w:t>
            </w:r>
          </w:p>
        </w:tc>
      </w:tr>
      <w:tr w:rsidR="006B4FB5" w:rsidRPr="006B4FB5" w14:paraId="638CB013" w14:textId="77777777" w:rsidTr="00816873">
        <w:trPr>
          <w:trHeight w:val="341"/>
        </w:trPr>
        <w:tc>
          <w:tcPr>
            <w:tcW w:w="1040" w:type="dxa"/>
            <w:tcBorders>
              <w:top w:val="nil"/>
              <w:left w:val="single" w:sz="8" w:space="0" w:color="000000"/>
              <w:bottom w:val="single" w:sz="8" w:space="0" w:color="000000"/>
              <w:right w:val="single" w:sz="8" w:space="0" w:color="000000"/>
            </w:tcBorders>
            <w:tcMar>
              <w:top w:w="0" w:type="dxa"/>
              <w:left w:w="51" w:type="dxa"/>
              <w:bottom w:w="0" w:type="dxa"/>
              <w:right w:w="51" w:type="dxa"/>
            </w:tcMar>
            <w:vAlign w:val="center"/>
            <w:hideMark/>
          </w:tcPr>
          <w:p w14:paraId="32E21101"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4</w:t>
            </w:r>
          </w:p>
        </w:tc>
        <w:tc>
          <w:tcPr>
            <w:tcW w:w="8589" w:type="dxa"/>
            <w:tcBorders>
              <w:top w:val="nil"/>
              <w:left w:val="nil"/>
              <w:bottom w:val="single" w:sz="8" w:space="0" w:color="000000"/>
              <w:right w:val="single" w:sz="8" w:space="0" w:color="000000"/>
            </w:tcBorders>
            <w:tcMar>
              <w:top w:w="0" w:type="dxa"/>
              <w:left w:w="51" w:type="dxa"/>
              <w:bottom w:w="0" w:type="dxa"/>
              <w:right w:w="51" w:type="dxa"/>
            </w:tcMar>
            <w:vAlign w:val="center"/>
            <w:hideMark/>
          </w:tcPr>
          <w:p w14:paraId="25B31DD8"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Times New Roman" w:eastAsia="Times New Roman" w:hAnsi="Times New Roman" w:cs="Times New Roman"/>
                <w:sz w:val="24"/>
                <w:szCs w:val="24"/>
                <w:lang w:eastAsia="en-GB"/>
              </w:rPr>
              <w:t>Exceptional – evidence provides full confidence with relevant added value and additional services with full description and evidence of implementation and monitoring</w:t>
            </w:r>
          </w:p>
        </w:tc>
      </w:tr>
    </w:tbl>
    <w:p w14:paraId="274BA31E" w14:textId="77777777" w:rsidR="006B4FB5" w:rsidRPr="006B4FB5" w:rsidRDefault="006B4FB5" w:rsidP="006B4FB5">
      <w:pPr>
        <w:spacing w:after="0" w:line="240" w:lineRule="auto"/>
        <w:rPr>
          <w:rFonts w:ascii="Times New Roman" w:eastAsia="Times New Roman" w:hAnsi="Times New Roman" w:cs="Times New Roman"/>
          <w:sz w:val="24"/>
          <w:szCs w:val="24"/>
          <w:lang w:eastAsia="en-GB"/>
        </w:rPr>
      </w:pPr>
      <w:r w:rsidRPr="006B4FB5">
        <w:rPr>
          <w:rFonts w:ascii="Calibri" w:eastAsia="Times New Roman" w:hAnsi="Calibri" w:cs="Calibri"/>
          <w:color w:val="1F497D"/>
          <w:lang w:eastAsia="en-GB"/>
        </w:rPr>
        <w:t> </w:t>
      </w:r>
    </w:p>
    <w:p w14:paraId="20C833AA" w14:textId="5DEC4905" w:rsidR="00170444" w:rsidRDefault="00265E7E" w:rsidP="007F1EFA">
      <w:pPr>
        <w:rPr>
          <w:b/>
          <w:bCs/>
        </w:rPr>
      </w:pPr>
      <w:r>
        <w:rPr>
          <w:b/>
          <w:bCs/>
        </w:rPr>
        <w:lastRenderedPageBreak/>
        <w:t xml:space="preserve">Service </w:t>
      </w:r>
      <w:r w:rsidR="002B2595">
        <w:rPr>
          <w:b/>
          <w:bCs/>
        </w:rPr>
        <w:t>Deliver</w:t>
      </w:r>
      <w:r w:rsidR="00053228">
        <w:rPr>
          <w:b/>
          <w:bCs/>
        </w:rPr>
        <w:t>y</w:t>
      </w:r>
    </w:p>
    <w:p w14:paraId="44439C12" w14:textId="16D91321" w:rsidR="00816873" w:rsidRDefault="00FB747D" w:rsidP="007F1EFA">
      <w:pPr>
        <w:rPr>
          <w:b/>
          <w:bCs/>
        </w:rPr>
      </w:pPr>
      <w:r w:rsidRPr="009D3AE9">
        <w:rPr>
          <w:b/>
          <w:bCs/>
          <w:noProof/>
        </w:rPr>
        <mc:AlternateContent>
          <mc:Choice Requires="wps">
            <w:drawing>
              <wp:anchor distT="45720" distB="45720" distL="114300" distR="114300" simplePos="0" relativeHeight="251674624" behindDoc="0" locked="0" layoutInCell="1" allowOverlap="1" wp14:anchorId="1CC569B7" wp14:editId="7C736144">
                <wp:simplePos x="0" y="0"/>
                <wp:positionH relativeFrom="margin">
                  <wp:align>left</wp:align>
                </wp:positionH>
                <wp:positionV relativeFrom="page">
                  <wp:posOffset>6720840</wp:posOffset>
                </wp:positionV>
                <wp:extent cx="6042660" cy="3321685"/>
                <wp:effectExtent l="0" t="0" r="1524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321685"/>
                        </a:xfrm>
                        <a:prstGeom prst="rect">
                          <a:avLst/>
                        </a:prstGeom>
                        <a:solidFill>
                          <a:srgbClr val="FFFFFF"/>
                        </a:solidFill>
                        <a:ln w="9525">
                          <a:solidFill>
                            <a:srgbClr val="000000"/>
                          </a:solidFill>
                          <a:miter lim="800000"/>
                          <a:headEnd/>
                          <a:tailEnd/>
                        </a:ln>
                      </wps:spPr>
                      <wps:txbx>
                        <w:txbxContent>
                          <w:p w14:paraId="2EC8B9FF" w14:textId="47628AA7" w:rsidR="009D3AE9" w:rsidRDefault="009D3AE9">
                            <w:r w:rsidRPr="009D3AE9">
                              <w:rPr>
                                <w:b/>
                                <w:bCs/>
                              </w:rPr>
                              <w:t xml:space="preserve">Question 2- </w:t>
                            </w:r>
                            <w:r>
                              <w:rPr>
                                <w:b/>
                                <w:bCs/>
                              </w:rPr>
                              <w:t xml:space="preserve">Stakeholder Engagement: </w:t>
                            </w:r>
                            <w:r>
                              <w:t>Please tell us how you will  engage with different stakeholders to ensure service reach and impact, and community and client empowerment (word limit 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569B7" id="_x0000_t202" coordsize="21600,21600" o:spt="202" path="m,l,21600r21600,l21600,xe">
                <v:stroke joinstyle="miter"/>
                <v:path gradientshapeok="t" o:connecttype="rect"/>
              </v:shapetype>
              <v:shape id="Text Box 2" o:spid="_x0000_s1026" type="#_x0000_t202" style="position:absolute;margin-left:0;margin-top:529.2pt;width:475.8pt;height:261.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">
                <v:textbox>
                  <w:txbxContent>
                    <w:p w14:paraId="2EC8B9FF" w14:textId="47628AA7" w:rsidR="009D3AE9" w:rsidRDefault="009D3AE9">
                      <w:r w:rsidRPr="009D3AE9">
                        <w:rPr>
                          <w:b/>
                          <w:bCs/>
                        </w:rPr>
                        <w:t xml:space="preserve">Question 2- </w:t>
                      </w:r>
                      <w:r>
                        <w:rPr>
                          <w:b/>
                          <w:bCs/>
                        </w:rPr>
                        <w:t xml:space="preserve">Stakeholder Engagement: </w:t>
                      </w:r>
                      <w:r>
                        <w:t>Please tell us how you will  engage with different stakeholders to ensure service reach and impact, and community and client empowerment (word limit 500 )</w:t>
                      </w:r>
                    </w:p>
                  </w:txbxContent>
                </v:textbox>
                <w10:wrap type="square" anchorx="margin" anchory="page"/>
              </v:shape>
            </w:pict>
          </mc:Fallback>
        </mc:AlternateContent>
      </w:r>
      <w:r w:rsidR="00053228" w:rsidRPr="00200724">
        <w:rPr>
          <w:b/>
          <w:bCs/>
          <w:noProof/>
        </w:rPr>
        <mc:AlternateContent>
          <mc:Choice Requires="wps">
            <w:drawing>
              <wp:anchor distT="45720" distB="45720" distL="114300" distR="114300" simplePos="0" relativeHeight="251664384" behindDoc="0" locked="0" layoutInCell="1" allowOverlap="1" wp14:anchorId="5060C276" wp14:editId="7B47233E">
                <wp:simplePos x="0" y="0"/>
                <wp:positionH relativeFrom="column">
                  <wp:posOffset>0</wp:posOffset>
                </wp:positionH>
                <wp:positionV relativeFrom="paragraph">
                  <wp:posOffset>330835</wp:posOffset>
                </wp:positionV>
                <wp:extent cx="6061710" cy="49339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933950"/>
                        </a:xfrm>
                        <a:prstGeom prst="rect">
                          <a:avLst/>
                        </a:prstGeom>
                        <a:solidFill>
                          <a:srgbClr val="FFFFFF"/>
                        </a:solidFill>
                        <a:ln w="9525">
                          <a:solidFill>
                            <a:srgbClr val="000000"/>
                          </a:solidFill>
                          <a:miter lim="800000"/>
                          <a:headEnd/>
                          <a:tailEnd/>
                        </a:ln>
                      </wps:spPr>
                      <wps:txbx>
                        <w:txbxContent>
                          <w:p w14:paraId="22037EBB" w14:textId="565D28C3" w:rsidR="00053228" w:rsidRDefault="00053228" w:rsidP="00053228">
                            <w:r w:rsidRPr="0015321A">
                              <w:rPr>
                                <w:b/>
                                <w:bCs/>
                              </w:rPr>
                              <w:t>Question 1</w:t>
                            </w:r>
                            <w:r>
                              <w:t xml:space="preserve"> </w:t>
                            </w:r>
                            <w:r w:rsidRPr="00A9533B">
                              <w:rPr>
                                <w:b/>
                                <w:bCs/>
                              </w:rPr>
                              <w:t>– Service Model:</w:t>
                            </w:r>
                            <w:r>
                              <w:t xml:space="preserve"> With reference to the service specification (appendix 1) please tell us how you will structure and deliver the service and reach the outcomes specified. </w:t>
                            </w:r>
                            <w:r w:rsidR="003D28E0">
                              <w:t>Please include details of referral pathways, case triage and management, staff structure, and how different components of the service will work together</w:t>
                            </w:r>
                            <w:r w:rsidR="00CE5AF8">
                              <w:t xml:space="preserve"> </w:t>
                            </w:r>
                            <w:r>
                              <w:t>[Word Limit 600</w:t>
                            </w:r>
                            <w:r w:rsidR="0030026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C276" id="_x0000_s1027" type="#_x0000_t202" style="position:absolute;margin-left:0;margin-top:26.05pt;width:477.3pt;height:3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EXJQ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">
                <v:textbox>
                  <w:txbxContent>
                    <w:p w14:paraId="22037EBB" w14:textId="565D28C3" w:rsidR="00053228" w:rsidRDefault="00053228" w:rsidP="00053228">
                      <w:r w:rsidRPr="0015321A">
                        <w:rPr>
                          <w:b/>
                          <w:bCs/>
                        </w:rPr>
                        <w:t>Question 1</w:t>
                      </w:r>
                      <w:r>
                        <w:t xml:space="preserve"> </w:t>
                      </w:r>
                      <w:r w:rsidRPr="00A9533B">
                        <w:rPr>
                          <w:b/>
                          <w:bCs/>
                        </w:rPr>
                        <w:t>– Service Model:</w:t>
                      </w:r>
                      <w:r>
                        <w:t xml:space="preserve"> With reference to the service specification (appendix 1) please tell us how you will structure and deliver the service and reach the outcomes specified. </w:t>
                      </w:r>
                      <w:r w:rsidR="003D28E0">
                        <w:t>Please include details of referral pathways, case triage and management, staff structure, and how different components of the service will work together</w:t>
                      </w:r>
                      <w:r w:rsidR="00CE5AF8">
                        <w:t xml:space="preserve"> </w:t>
                      </w:r>
                      <w:r>
                        <w:t>[Word Limit 600</w:t>
                      </w:r>
                      <w:r w:rsidR="00300268">
                        <w:t>]</w:t>
                      </w:r>
                    </w:p>
                  </w:txbxContent>
                </v:textbox>
                <w10:wrap type="square"/>
              </v:shape>
            </w:pict>
          </mc:Fallback>
        </mc:AlternateContent>
      </w:r>
    </w:p>
    <w:p w14:paraId="4CB49DDB" w14:textId="71640F09" w:rsidR="00053228" w:rsidRDefault="007C4EA0" w:rsidP="007F1EFA">
      <w:pPr>
        <w:rPr>
          <w:b/>
          <w:bCs/>
        </w:rPr>
      </w:pPr>
      <w:r w:rsidRPr="00200724">
        <w:rPr>
          <w:b/>
          <w:bCs/>
          <w:noProof/>
        </w:rPr>
        <w:lastRenderedPageBreak/>
        <mc:AlternateContent>
          <mc:Choice Requires="wps">
            <w:drawing>
              <wp:anchor distT="45720" distB="45720" distL="114300" distR="114300" simplePos="0" relativeHeight="251666432" behindDoc="0" locked="0" layoutInCell="1" allowOverlap="1" wp14:anchorId="2F88ED10" wp14:editId="38AF553C">
                <wp:simplePos x="0" y="0"/>
                <wp:positionH relativeFrom="margin">
                  <wp:align>left</wp:align>
                </wp:positionH>
                <wp:positionV relativeFrom="margin">
                  <wp:align>top</wp:align>
                </wp:positionV>
                <wp:extent cx="6061710" cy="3618865"/>
                <wp:effectExtent l="0" t="0" r="1524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618865"/>
                        </a:xfrm>
                        <a:prstGeom prst="rect">
                          <a:avLst/>
                        </a:prstGeom>
                        <a:solidFill>
                          <a:srgbClr val="FFFFFF"/>
                        </a:solidFill>
                        <a:ln w="9525">
                          <a:solidFill>
                            <a:srgbClr val="000000"/>
                          </a:solidFill>
                          <a:miter lim="800000"/>
                          <a:headEnd/>
                          <a:tailEnd/>
                        </a:ln>
                      </wps:spPr>
                      <wps:txbx>
                        <w:txbxContent>
                          <w:p w14:paraId="04C0474C" w14:textId="2A6DFBFD" w:rsidR="00053228" w:rsidRDefault="00053228" w:rsidP="00053228">
                            <w:r w:rsidRPr="0015321A">
                              <w:rPr>
                                <w:b/>
                                <w:bCs/>
                              </w:rPr>
                              <w:t xml:space="preserve">Question </w:t>
                            </w:r>
                            <w:r w:rsidR="009D3AE9">
                              <w:rPr>
                                <w:b/>
                                <w:bCs/>
                              </w:rPr>
                              <w:t>3</w:t>
                            </w:r>
                            <w:r>
                              <w:t xml:space="preserve"> – </w:t>
                            </w:r>
                            <w:r w:rsidRPr="00A9533B">
                              <w:rPr>
                                <w:b/>
                                <w:bCs/>
                              </w:rPr>
                              <w:t>Mobilisation</w:t>
                            </w:r>
                            <w:r>
                              <w:rPr>
                                <w:b/>
                                <w:bCs/>
                              </w:rPr>
                              <w:t xml:space="preserve">: </w:t>
                            </w:r>
                            <w:r w:rsidRPr="00A9533B">
                              <w:t>Pl</w:t>
                            </w:r>
                            <w:r>
                              <w:t>ease tell us how you would mobilise the service and give us an idea of what the first 90 days would look like. Within this please show us what potential risks there are and how you might overcome them. [Word limit 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ED10" id="_x0000_s1028" type="#_x0000_t202" style="position:absolute;margin-left:0;margin-top:0;width:477.3pt;height:284.95pt;z-index:25166643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">
                <v:textbox>
                  <w:txbxContent>
                    <w:p w14:paraId="04C0474C" w14:textId="2A6DFBFD" w:rsidR="00053228" w:rsidRDefault="00053228" w:rsidP="00053228">
                      <w:r w:rsidRPr="0015321A">
                        <w:rPr>
                          <w:b/>
                          <w:bCs/>
                        </w:rPr>
                        <w:t xml:space="preserve">Question </w:t>
                      </w:r>
                      <w:r w:rsidR="009D3AE9">
                        <w:rPr>
                          <w:b/>
                          <w:bCs/>
                        </w:rPr>
                        <w:t>3</w:t>
                      </w:r>
                      <w:r>
                        <w:t xml:space="preserve"> – </w:t>
                      </w:r>
                      <w:r w:rsidRPr="00A9533B">
                        <w:rPr>
                          <w:b/>
                          <w:bCs/>
                        </w:rPr>
                        <w:t>Mobilisation</w:t>
                      </w:r>
                      <w:r>
                        <w:rPr>
                          <w:b/>
                          <w:bCs/>
                        </w:rPr>
                        <w:t xml:space="preserve">: </w:t>
                      </w:r>
                      <w:r w:rsidRPr="00A9533B">
                        <w:t>Pl</w:t>
                      </w:r>
                      <w:r>
                        <w:t>ease tell us how you would mobilise the service and give us an idea of what the first 90 days would look like. Within this please show us what potential risks there are and how you might overcome them. [Word limit 400]</w:t>
                      </w:r>
                    </w:p>
                  </w:txbxContent>
                </v:textbox>
                <w10:wrap type="square" anchorx="margin" anchory="margin"/>
              </v:shape>
            </w:pict>
          </mc:Fallback>
        </mc:AlternateContent>
      </w:r>
    </w:p>
    <w:p w14:paraId="45757D0F" w14:textId="0DDFA2CC" w:rsidR="00053228" w:rsidRDefault="006A0C53" w:rsidP="007F1EFA">
      <w:pPr>
        <w:rPr>
          <w:b/>
          <w:bCs/>
        </w:rPr>
      </w:pPr>
      <w:r w:rsidRPr="00200724">
        <w:rPr>
          <w:b/>
          <w:bCs/>
          <w:noProof/>
        </w:rPr>
        <mc:AlternateContent>
          <mc:Choice Requires="wps">
            <w:drawing>
              <wp:anchor distT="45720" distB="45720" distL="114300" distR="114300" simplePos="0" relativeHeight="251668480" behindDoc="0" locked="0" layoutInCell="1" allowOverlap="1" wp14:anchorId="7FB111D8" wp14:editId="1E899345">
                <wp:simplePos x="0" y="0"/>
                <wp:positionH relativeFrom="margin">
                  <wp:align>left</wp:align>
                </wp:positionH>
                <wp:positionV relativeFrom="paragraph">
                  <wp:posOffset>331470</wp:posOffset>
                </wp:positionV>
                <wp:extent cx="6061710" cy="4183380"/>
                <wp:effectExtent l="0" t="0" r="1524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183380"/>
                        </a:xfrm>
                        <a:prstGeom prst="rect">
                          <a:avLst/>
                        </a:prstGeom>
                        <a:solidFill>
                          <a:srgbClr val="FFFFFF"/>
                        </a:solidFill>
                        <a:ln w="9525">
                          <a:solidFill>
                            <a:srgbClr val="000000"/>
                          </a:solidFill>
                          <a:miter lim="800000"/>
                          <a:headEnd/>
                          <a:tailEnd/>
                        </a:ln>
                      </wps:spPr>
                      <wps:txbx>
                        <w:txbxContent>
                          <w:p w14:paraId="177BDA9A" w14:textId="5868F226" w:rsidR="006A0C53" w:rsidRDefault="006A0C53" w:rsidP="006A0C53">
                            <w:r w:rsidRPr="0015321A">
                              <w:rPr>
                                <w:b/>
                                <w:bCs/>
                              </w:rPr>
                              <w:t xml:space="preserve">Question </w:t>
                            </w:r>
                            <w:r w:rsidR="009D3AE9">
                              <w:rPr>
                                <w:b/>
                                <w:bCs/>
                              </w:rPr>
                              <w:t>4</w:t>
                            </w:r>
                            <w:r>
                              <w:t xml:space="preserve"> – </w:t>
                            </w:r>
                            <w:r w:rsidR="00C32120">
                              <w:rPr>
                                <w:b/>
                                <w:bCs/>
                              </w:rPr>
                              <w:t>Monitoring and data capture</w:t>
                            </w:r>
                            <w:r>
                              <w:rPr>
                                <w:b/>
                                <w:bCs/>
                              </w:rPr>
                              <w:t xml:space="preserve"> </w:t>
                            </w:r>
                            <w:r w:rsidR="003951B0">
                              <w:t>Please tell us how you will record, store and utlise relevant client information</w:t>
                            </w:r>
                            <w:r w:rsidR="00A82380">
                              <w:t xml:space="preserve"> in order to provide quarterly monitoring and evidence impact. In addition to this please </w:t>
                            </w:r>
                            <w:r w:rsidR="007E202A">
                              <w:t>tell us if there are any additional things we can take into account when measuring client impact. [word limit 300</w:t>
                            </w:r>
                            <w:r w:rsidR="00F96D2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11D8" id="Text Box 3" o:spid="_x0000_s1029" type="#_x0000_t202" style="position:absolute;margin-left:0;margin-top:26.1pt;width:477.3pt;height:329.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">
                <v:textbox>
                  <w:txbxContent>
                    <w:p w14:paraId="177BDA9A" w14:textId="5868F226" w:rsidR="006A0C53" w:rsidRDefault="006A0C53" w:rsidP="006A0C53">
                      <w:r w:rsidRPr="0015321A">
                        <w:rPr>
                          <w:b/>
                          <w:bCs/>
                        </w:rPr>
                        <w:t xml:space="preserve">Question </w:t>
                      </w:r>
                      <w:r w:rsidR="009D3AE9">
                        <w:rPr>
                          <w:b/>
                          <w:bCs/>
                        </w:rPr>
                        <w:t>4</w:t>
                      </w:r>
                      <w:r>
                        <w:t xml:space="preserve"> – </w:t>
                      </w:r>
                      <w:r w:rsidR="00C32120">
                        <w:rPr>
                          <w:b/>
                          <w:bCs/>
                        </w:rPr>
                        <w:t>Monitoring and data capture</w:t>
                      </w:r>
                      <w:r>
                        <w:rPr>
                          <w:b/>
                          <w:bCs/>
                        </w:rPr>
                        <w:t xml:space="preserve"> </w:t>
                      </w:r>
                      <w:r w:rsidR="003951B0">
                        <w:t xml:space="preserve">Please tell us how you will record, store and </w:t>
                      </w:r>
                      <w:proofErr w:type="spellStart"/>
                      <w:r w:rsidR="003951B0">
                        <w:t>utlise</w:t>
                      </w:r>
                      <w:proofErr w:type="spellEnd"/>
                      <w:r w:rsidR="003951B0">
                        <w:t xml:space="preserve"> relevant client information</w:t>
                      </w:r>
                      <w:r w:rsidR="00A82380">
                        <w:t xml:space="preserve"> in order to provide quarterly monitoring and evidence impact. In addition to this please </w:t>
                      </w:r>
                      <w:r w:rsidR="007E202A">
                        <w:t>tell us if there are any additional things we can take into account when measuring client impact. [word limit 300</w:t>
                      </w:r>
                      <w:r w:rsidR="00F96D23">
                        <w:t>]</w:t>
                      </w:r>
                    </w:p>
                  </w:txbxContent>
                </v:textbox>
                <w10:wrap type="square" anchorx="margin"/>
              </v:shape>
            </w:pict>
          </mc:Fallback>
        </mc:AlternateContent>
      </w:r>
    </w:p>
    <w:p w14:paraId="37CF172D" w14:textId="77777777" w:rsidR="00053228" w:rsidRDefault="00053228" w:rsidP="007F1EFA">
      <w:pPr>
        <w:rPr>
          <w:b/>
          <w:bCs/>
        </w:rPr>
      </w:pPr>
    </w:p>
    <w:p w14:paraId="4F17C132" w14:textId="3CB5FA99" w:rsidR="00EF7E8F" w:rsidRDefault="0054102F" w:rsidP="007F1EFA">
      <w:pPr>
        <w:rPr>
          <w:b/>
          <w:bCs/>
        </w:rPr>
      </w:pPr>
      <w:r w:rsidRPr="00200724">
        <w:rPr>
          <w:b/>
          <w:bCs/>
          <w:noProof/>
        </w:rPr>
        <w:lastRenderedPageBreak/>
        <mc:AlternateContent>
          <mc:Choice Requires="wps">
            <w:drawing>
              <wp:anchor distT="45720" distB="45720" distL="114300" distR="114300" simplePos="0" relativeHeight="251679744" behindDoc="0" locked="0" layoutInCell="1" allowOverlap="1" wp14:anchorId="2C5B97ED" wp14:editId="50E0187E">
                <wp:simplePos x="0" y="0"/>
                <wp:positionH relativeFrom="margin">
                  <wp:posOffset>0</wp:posOffset>
                </wp:positionH>
                <wp:positionV relativeFrom="paragraph">
                  <wp:posOffset>331470</wp:posOffset>
                </wp:positionV>
                <wp:extent cx="6061710" cy="41833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183380"/>
                        </a:xfrm>
                        <a:prstGeom prst="rect">
                          <a:avLst/>
                        </a:prstGeom>
                        <a:solidFill>
                          <a:srgbClr val="FFFFFF"/>
                        </a:solidFill>
                        <a:ln w="9525">
                          <a:solidFill>
                            <a:srgbClr val="000000"/>
                          </a:solidFill>
                          <a:miter lim="800000"/>
                          <a:headEnd/>
                          <a:tailEnd/>
                        </a:ln>
                      </wps:spPr>
                      <wps:txbx>
                        <w:txbxContent>
                          <w:p w14:paraId="029A5D01" w14:textId="4D1E8275" w:rsidR="0054102F" w:rsidRDefault="0054102F" w:rsidP="0054102F">
                            <w:r w:rsidRPr="0015321A">
                              <w:rPr>
                                <w:b/>
                                <w:bCs/>
                              </w:rPr>
                              <w:t xml:space="preserve">Question </w:t>
                            </w:r>
                            <w:r>
                              <w:rPr>
                                <w:b/>
                                <w:bCs/>
                              </w:rPr>
                              <w:t>5</w:t>
                            </w:r>
                            <w:r>
                              <w:t xml:space="preserve"> – The following </w:t>
                            </w:r>
                            <w:r w:rsidR="0069025C">
                              <w:t xml:space="preserve">policies are relevant to the mbilisation and delivery of this service. Please tell us if you have these policies and how they are relevant to the mobilisation and delivery of this service. If you do not have these policies please say how you will go </w:t>
                            </w:r>
                            <w:r w:rsidR="00E84016">
                              <w:t xml:space="preserve">constructing/developing them. Policies: </w:t>
                            </w:r>
                            <w:r w:rsidR="0023341C">
                              <w:t>‘</w:t>
                            </w:r>
                            <w:r w:rsidR="00E84016">
                              <w:t>GDPR</w:t>
                            </w:r>
                            <w:r w:rsidR="0023341C">
                              <w:t>’</w:t>
                            </w:r>
                            <w:r w:rsidR="00E84016">
                              <w:t xml:space="preserve">, </w:t>
                            </w:r>
                            <w:r w:rsidR="0023341C">
                              <w:t>‘</w:t>
                            </w:r>
                            <w:r w:rsidR="00E84016">
                              <w:t>Safeguarding</w:t>
                            </w:r>
                            <w:r w:rsidR="0023341C">
                              <w:t>’</w:t>
                            </w:r>
                            <w:r w:rsidR="00E84016">
                              <w:t xml:space="preserve">, </w:t>
                            </w:r>
                            <w:r w:rsidR="0023341C">
                              <w:t>‘Equality, Diversity and Inclusion’, Recruitment policy, Finance policy, Complaints</w:t>
                            </w:r>
                            <w:r w:rsidR="0089091D">
                              <w:t>, Health and Safety. [300 words]</w:t>
                            </w:r>
                            <w:r w:rsidR="0023341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B97ED" id="Text Box 8" o:spid="_x0000_s1030" type="#_x0000_t202" style="position:absolute;margin-left:0;margin-top:26.1pt;width:477.3pt;height:329.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rkJwIAAEw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">
                <v:textbox>
                  <w:txbxContent>
                    <w:p w14:paraId="029A5D01" w14:textId="4D1E8275" w:rsidR="0054102F" w:rsidRDefault="0054102F" w:rsidP="0054102F">
                      <w:r w:rsidRPr="0015321A">
                        <w:rPr>
                          <w:b/>
                          <w:bCs/>
                        </w:rPr>
                        <w:t xml:space="preserve">Question </w:t>
                      </w:r>
                      <w:r>
                        <w:rPr>
                          <w:b/>
                          <w:bCs/>
                        </w:rPr>
                        <w:t>5</w:t>
                      </w:r>
                      <w:r>
                        <w:t xml:space="preserve"> – </w:t>
                      </w:r>
                      <w:r>
                        <w:t xml:space="preserve">The following </w:t>
                      </w:r>
                      <w:r w:rsidR="0069025C">
                        <w:t xml:space="preserve">policies are relevant to the </w:t>
                      </w:r>
                      <w:proofErr w:type="spellStart"/>
                      <w:r w:rsidR="0069025C">
                        <w:t>mbilisation</w:t>
                      </w:r>
                      <w:proofErr w:type="spellEnd"/>
                      <w:r w:rsidR="0069025C">
                        <w:t xml:space="preserve"> and delivery of this service. Please tell us if you have these policies and how they are relevant to the mobilisation and delivery of this service. If you do not have these policies please say how you will go </w:t>
                      </w:r>
                      <w:r w:rsidR="00E84016">
                        <w:t xml:space="preserve">constructing/developing them. Policies: </w:t>
                      </w:r>
                      <w:r w:rsidR="0023341C">
                        <w:t>‘</w:t>
                      </w:r>
                      <w:r w:rsidR="00E84016">
                        <w:t>GDPR</w:t>
                      </w:r>
                      <w:r w:rsidR="0023341C">
                        <w:t>’</w:t>
                      </w:r>
                      <w:r w:rsidR="00E84016">
                        <w:t xml:space="preserve">, </w:t>
                      </w:r>
                      <w:r w:rsidR="0023341C">
                        <w:t>‘</w:t>
                      </w:r>
                      <w:r w:rsidR="00E84016">
                        <w:t>Safeguarding</w:t>
                      </w:r>
                      <w:r w:rsidR="0023341C">
                        <w:t>’</w:t>
                      </w:r>
                      <w:r w:rsidR="00E84016">
                        <w:t xml:space="preserve">, </w:t>
                      </w:r>
                      <w:r w:rsidR="0023341C">
                        <w:t>‘Equality, Diversity and Inclusion’, Recruitment policy, Finance policy, Complaints</w:t>
                      </w:r>
                      <w:r w:rsidR="0089091D">
                        <w:t>, Health and Safety. [300 words]</w:t>
                      </w:r>
                      <w:r w:rsidR="0023341C">
                        <w:t xml:space="preserve"> </w:t>
                      </w:r>
                    </w:p>
                  </w:txbxContent>
                </v:textbox>
                <w10:wrap type="square" anchorx="margin"/>
              </v:shape>
            </w:pict>
          </mc:Fallback>
        </mc:AlternateContent>
      </w:r>
    </w:p>
    <w:p w14:paraId="11918CD5" w14:textId="77777777" w:rsidR="00EF7E8F" w:rsidRDefault="00EF7E8F" w:rsidP="007F1EFA">
      <w:pPr>
        <w:rPr>
          <w:b/>
          <w:bCs/>
        </w:rPr>
      </w:pPr>
    </w:p>
    <w:p w14:paraId="4EC4865B" w14:textId="77777777" w:rsidR="00EF7E8F" w:rsidRDefault="00EF7E8F" w:rsidP="007F1EFA">
      <w:pPr>
        <w:rPr>
          <w:b/>
          <w:bCs/>
        </w:rPr>
      </w:pPr>
    </w:p>
    <w:p w14:paraId="53AE3C78" w14:textId="17D48379" w:rsidR="005B6EFB" w:rsidRDefault="005B6EFB" w:rsidP="007F1EFA">
      <w:pPr>
        <w:rPr>
          <w:b/>
          <w:bCs/>
        </w:rPr>
      </w:pPr>
      <w:r>
        <w:rPr>
          <w:b/>
          <w:bCs/>
        </w:rPr>
        <w:t xml:space="preserve">Please send your response back to </w:t>
      </w:r>
      <w:hyperlink r:id="rId12" w:history="1">
        <w:r w:rsidR="00F07A46" w:rsidRPr="00633597">
          <w:rPr>
            <w:rStyle w:val="Hyperlink"/>
            <w:b/>
            <w:bCs/>
          </w:rPr>
          <w:t>leadership@mindeb.org.uk</w:t>
        </w:r>
      </w:hyperlink>
    </w:p>
    <w:p w14:paraId="2CB3D660" w14:textId="30F18F7B" w:rsidR="00D02CA2" w:rsidRDefault="00D02CA2" w:rsidP="007F1EFA">
      <w:pPr>
        <w:rPr>
          <w:b/>
          <w:bCs/>
        </w:rPr>
      </w:pPr>
      <w:r>
        <w:rPr>
          <w:b/>
          <w:bCs/>
        </w:rPr>
        <w:t>Documentation/Info check:</w:t>
      </w:r>
    </w:p>
    <w:p w14:paraId="0CCC937D" w14:textId="0AA70280" w:rsidR="00D02CA2" w:rsidRPr="00744403" w:rsidRDefault="00D02CA2" w:rsidP="00744403">
      <w:pPr>
        <w:pStyle w:val="ListParagraph"/>
        <w:numPr>
          <w:ilvl w:val="0"/>
          <w:numId w:val="2"/>
        </w:numPr>
        <w:rPr>
          <w:b/>
          <w:bCs/>
        </w:rPr>
      </w:pPr>
      <w:r w:rsidRPr="00744403">
        <w:rPr>
          <w:b/>
          <w:bCs/>
        </w:rPr>
        <w:t xml:space="preserve">Completed </w:t>
      </w:r>
      <w:r w:rsidR="0089091D" w:rsidRPr="00744403">
        <w:rPr>
          <w:b/>
          <w:bCs/>
        </w:rPr>
        <w:t>Questionnaire</w:t>
      </w:r>
    </w:p>
    <w:p w14:paraId="726F0123" w14:textId="7A4C6E4B" w:rsidR="00D02CA2" w:rsidRPr="00744403" w:rsidRDefault="00D02CA2" w:rsidP="00744403">
      <w:pPr>
        <w:pStyle w:val="ListParagraph"/>
        <w:numPr>
          <w:ilvl w:val="0"/>
          <w:numId w:val="2"/>
        </w:numPr>
        <w:rPr>
          <w:b/>
          <w:bCs/>
        </w:rPr>
      </w:pPr>
      <w:r w:rsidRPr="00744403">
        <w:rPr>
          <w:b/>
          <w:bCs/>
        </w:rPr>
        <w:t>Most recent set of accounts</w:t>
      </w:r>
    </w:p>
    <w:p w14:paraId="10A89ABC" w14:textId="5C7F8441" w:rsidR="00D02CA2" w:rsidRPr="00744403" w:rsidRDefault="00744403" w:rsidP="00744403">
      <w:pPr>
        <w:pStyle w:val="ListParagraph"/>
        <w:numPr>
          <w:ilvl w:val="0"/>
          <w:numId w:val="2"/>
        </w:numPr>
        <w:rPr>
          <w:b/>
          <w:bCs/>
        </w:rPr>
      </w:pPr>
      <w:r w:rsidRPr="00744403">
        <w:rPr>
          <w:b/>
          <w:bCs/>
        </w:rPr>
        <w:t>Safeguarding, GDPR and recruitment policies</w:t>
      </w:r>
    </w:p>
    <w:p w14:paraId="1112A77E" w14:textId="5C1B409C" w:rsidR="00744403" w:rsidRDefault="00744403" w:rsidP="00744403">
      <w:pPr>
        <w:pStyle w:val="ListParagraph"/>
        <w:numPr>
          <w:ilvl w:val="0"/>
          <w:numId w:val="2"/>
        </w:numPr>
        <w:rPr>
          <w:b/>
          <w:bCs/>
        </w:rPr>
      </w:pPr>
      <w:r w:rsidRPr="00744403">
        <w:rPr>
          <w:b/>
          <w:bCs/>
        </w:rPr>
        <w:t>Two references</w:t>
      </w:r>
    </w:p>
    <w:p w14:paraId="2C8C3984" w14:textId="1A875A04" w:rsidR="00E46212" w:rsidRDefault="00E46212" w:rsidP="00744403">
      <w:pPr>
        <w:rPr>
          <w:b/>
          <w:bCs/>
        </w:rPr>
      </w:pPr>
    </w:p>
    <w:p w14:paraId="559515DB" w14:textId="53745A8F" w:rsidR="00E46212" w:rsidRDefault="00E46212" w:rsidP="00744403">
      <w:pPr>
        <w:rPr>
          <w:b/>
          <w:bCs/>
        </w:rPr>
      </w:pPr>
    </w:p>
    <w:p w14:paraId="31C2FE49" w14:textId="20A2044C" w:rsidR="00E46212" w:rsidRDefault="00E46212" w:rsidP="00744403">
      <w:pPr>
        <w:rPr>
          <w:b/>
          <w:bCs/>
        </w:rPr>
      </w:pPr>
    </w:p>
    <w:p w14:paraId="028B9FEB" w14:textId="4182B8B6" w:rsidR="00E46212" w:rsidRDefault="00E46212" w:rsidP="00744403">
      <w:pPr>
        <w:rPr>
          <w:b/>
          <w:bCs/>
        </w:rPr>
      </w:pPr>
    </w:p>
    <w:p w14:paraId="4EF4FCC1" w14:textId="27915267" w:rsidR="00E46212" w:rsidRDefault="00E46212" w:rsidP="00744403">
      <w:pPr>
        <w:rPr>
          <w:b/>
          <w:bCs/>
        </w:rPr>
      </w:pPr>
    </w:p>
    <w:p w14:paraId="5868BBC2" w14:textId="77777777" w:rsidR="0089091D" w:rsidRDefault="0089091D" w:rsidP="00942B69">
      <w:pPr>
        <w:pStyle w:val="Heading1"/>
        <w:tabs>
          <w:tab w:val="num" w:pos="720"/>
        </w:tabs>
        <w:jc w:val="center"/>
        <w:rPr>
          <w:sz w:val="24"/>
          <w:szCs w:val="24"/>
        </w:rPr>
      </w:pPr>
    </w:p>
    <w:p w14:paraId="494420D2" w14:textId="44179981" w:rsidR="00942B69" w:rsidRDefault="00942B69" w:rsidP="00942B69">
      <w:pPr>
        <w:pStyle w:val="Heading1"/>
        <w:tabs>
          <w:tab w:val="num" w:pos="720"/>
        </w:tabs>
        <w:jc w:val="center"/>
        <w:rPr>
          <w:sz w:val="24"/>
          <w:szCs w:val="24"/>
        </w:rPr>
      </w:pPr>
      <w:r>
        <w:rPr>
          <w:sz w:val="24"/>
          <w:szCs w:val="24"/>
        </w:rPr>
        <w:lastRenderedPageBreak/>
        <w:t xml:space="preserve">Appendix 1 </w:t>
      </w:r>
    </w:p>
    <w:p w14:paraId="55ABF9D8" w14:textId="77777777" w:rsidR="00942B69" w:rsidRDefault="00942B69" w:rsidP="00942B69">
      <w:pPr>
        <w:rPr>
          <w:sz w:val="24"/>
          <w:szCs w:val="24"/>
        </w:rPr>
      </w:pPr>
    </w:p>
    <w:p w14:paraId="419CC057" w14:textId="77777777" w:rsidR="00942B69" w:rsidRDefault="00942B69" w:rsidP="00942B69">
      <w:pPr>
        <w:pStyle w:val="ListParagraph"/>
        <w:keepNext/>
        <w:numPr>
          <w:ilvl w:val="0"/>
          <w:numId w:val="6"/>
        </w:numPr>
        <w:spacing w:after="120" w:line="240" w:lineRule="auto"/>
        <w:outlineLvl w:val="1"/>
        <w:rPr>
          <w:rFonts w:ascii="Arial" w:hAnsi="Arial" w:cs="Arial"/>
          <w:b/>
          <w:lang w:eastAsia="en-GB"/>
        </w:rPr>
      </w:pPr>
      <w:r>
        <w:rPr>
          <w:rFonts w:ascii="Arial" w:hAnsi="Arial" w:cs="Arial"/>
          <w:b/>
        </w:rPr>
        <w:t>Sub-Contract Service Specifications</w:t>
      </w:r>
    </w:p>
    <w:p w14:paraId="358BA086" w14:textId="77777777" w:rsidR="00942B69" w:rsidRDefault="00942B69" w:rsidP="00942B69">
      <w:pPr>
        <w:rPr>
          <w:rFonts w:ascii="Times New Roman" w:hAnsi="Times New Roman" w:cs="Times New Roman"/>
        </w:rPr>
      </w:pPr>
    </w:p>
    <w:tbl>
      <w:tblPr>
        <w:tblW w:w="924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5977"/>
      </w:tblGrid>
      <w:tr w:rsidR="00942B69" w14:paraId="07EE44EC" w14:textId="77777777" w:rsidTr="00942B69">
        <w:trPr>
          <w:trHeight w:val="245"/>
        </w:trPr>
        <w:tc>
          <w:tcPr>
            <w:tcW w:w="3265" w:type="dxa"/>
            <w:tcBorders>
              <w:top w:val="single" w:sz="4" w:space="0" w:color="000000"/>
              <w:left w:val="single" w:sz="4" w:space="0" w:color="000000"/>
              <w:bottom w:val="single" w:sz="4" w:space="0" w:color="000000"/>
              <w:right w:val="single" w:sz="4" w:space="0" w:color="000000"/>
            </w:tcBorders>
            <w:shd w:val="clear" w:color="auto" w:fill="585858"/>
            <w:hideMark/>
          </w:tcPr>
          <w:p w14:paraId="489A0321" w14:textId="77777777" w:rsidR="00942B69" w:rsidRDefault="00942B69">
            <w:pPr>
              <w:pStyle w:val="TableParagraph"/>
              <w:spacing w:line="274" w:lineRule="exact"/>
              <w:ind w:left="0"/>
              <w:rPr>
                <w:b/>
                <w:sz w:val="24"/>
              </w:rPr>
            </w:pPr>
            <w:r>
              <w:rPr>
                <w:b/>
                <w:color w:val="F79546"/>
                <w:sz w:val="24"/>
              </w:rPr>
              <w:t>Service Specification</w:t>
            </w:r>
            <w:r>
              <w:rPr>
                <w:b/>
                <w:sz w:val="24"/>
              </w:rPr>
              <w:t xml:space="preserve"> </w:t>
            </w:r>
            <w:r>
              <w:rPr>
                <w:b/>
                <w:color w:val="F79546"/>
                <w:sz w:val="24"/>
              </w:rPr>
              <w:t>No.</w:t>
            </w:r>
          </w:p>
        </w:tc>
        <w:tc>
          <w:tcPr>
            <w:tcW w:w="5981" w:type="dxa"/>
            <w:tcBorders>
              <w:top w:val="single" w:sz="4" w:space="0" w:color="000000"/>
              <w:left w:val="single" w:sz="4" w:space="0" w:color="000000"/>
              <w:bottom w:val="single" w:sz="4" w:space="0" w:color="000000"/>
              <w:right w:val="single" w:sz="4" w:space="0" w:color="000000"/>
            </w:tcBorders>
          </w:tcPr>
          <w:p w14:paraId="5776E9A5" w14:textId="77777777" w:rsidR="00942B69" w:rsidRDefault="00942B69">
            <w:pPr>
              <w:pStyle w:val="TableParagraph"/>
              <w:spacing w:line="227" w:lineRule="exact"/>
              <w:ind w:left="105"/>
              <w:rPr>
                <w:sz w:val="20"/>
              </w:rPr>
            </w:pPr>
          </w:p>
        </w:tc>
      </w:tr>
      <w:tr w:rsidR="00942B69" w14:paraId="5D53585A" w14:textId="77777777" w:rsidTr="00942B69">
        <w:trPr>
          <w:trHeight w:val="427"/>
        </w:trPr>
        <w:tc>
          <w:tcPr>
            <w:tcW w:w="3265" w:type="dxa"/>
            <w:tcBorders>
              <w:top w:val="single" w:sz="4" w:space="0" w:color="000000"/>
              <w:left w:val="single" w:sz="4" w:space="0" w:color="000000"/>
              <w:bottom w:val="single" w:sz="4" w:space="0" w:color="000000"/>
              <w:right w:val="single" w:sz="4" w:space="0" w:color="000000"/>
            </w:tcBorders>
            <w:shd w:val="clear" w:color="auto" w:fill="585858"/>
            <w:hideMark/>
          </w:tcPr>
          <w:p w14:paraId="5AD6CD60" w14:textId="77777777" w:rsidR="00942B69" w:rsidRDefault="00942B69">
            <w:pPr>
              <w:pStyle w:val="TableParagraph"/>
              <w:spacing w:line="274" w:lineRule="exact"/>
              <w:ind w:left="0"/>
              <w:rPr>
                <w:b/>
                <w:sz w:val="24"/>
              </w:rPr>
            </w:pPr>
            <w:r>
              <w:rPr>
                <w:b/>
                <w:color w:val="F79546"/>
                <w:sz w:val="24"/>
              </w:rPr>
              <w:t>Services</w:t>
            </w:r>
          </w:p>
        </w:tc>
        <w:tc>
          <w:tcPr>
            <w:tcW w:w="5981" w:type="dxa"/>
            <w:tcBorders>
              <w:top w:val="single" w:sz="4" w:space="0" w:color="000000"/>
              <w:left w:val="single" w:sz="4" w:space="0" w:color="000000"/>
              <w:bottom w:val="single" w:sz="4" w:space="0" w:color="000000"/>
              <w:right w:val="single" w:sz="4" w:space="0" w:color="000000"/>
            </w:tcBorders>
            <w:hideMark/>
          </w:tcPr>
          <w:p w14:paraId="7D91CC30" w14:textId="77777777" w:rsidR="00942B69" w:rsidRDefault="00942B69">
            <w:pPr>
              <w:pStyle w:val="TableParagraph"/>
              <w:spacing w:line="227" w:lineRule="exact"/>
              <w:ind w:left="0"/>
            </w:pPr>
            <w:r>
              <w:t>Black and Ethnic Minority (BAME) Advocacy</w:t>
            </w:r>
          </w:p>
        </w:tc>
      </w:tr>
      <w:tr w:rsidR="00942B69" w14:paraId="1FCF8095" w14:textId="77777777" w:rsidTr="00942B69">
        <w:trPr>
          <w:trHeight w:val="301"/>
        </w:trPr>
        <w:tc>
          <w:tcPr>
            <w:tcW w:w="3265" w:type="dxa"/>
            <w:tcBorders>
              <w:top w:val="single" w:sz="4" w:space="0" w:color="000000"/>
              <w:left w:val="single" w:sz="4" w:space="0" w:color="000000"/>
              <w:bottom w:val="single" w:sz="4" w:space="0" w:color="000000"/>
              <w:right w:val="single" w:sz="4" w:space="0" w:color="000000"/>
            </w:tcBorders>
            <w:shd w:val="clear" w:color="auto" w:fill="585858"/>
            <w:hideMark/>
          </w:tcPr>
          <w:p w14:paraId="61716BE8" w14:textId="77777777" w:rsidR="00942B69" w:rsidRDefault="00942B69">
            <w:pPr>
              <w:pStyle w:val="TableParagraph"/>
              <w:spacing w:before="1"/>
              <w:ind w:left="0"/>
              <w:rPr>
                <w:b/>
                <w:sz w:val="24"/>
              </w:rPr>
            </w:pPr>
            <w:r>
              <w:rPr>
                <w:b/>
                <w:color w:val="F79546"/>
                <w:sz w:val="24"/>
              </w:rPr>
              <w:t>Provider Lead</w:t>
            </w:r>
          </w:p>
        </w:tc>
        <w:tc>
          <w:tcPr>
            <w:tcW w:w="5981" w:type="dxa"/>
            <w:tcBorders>
              <w:top w:val="single" w:sz="4" w:space="0" w:color="000000"/>
              <w:left w:val="single" w:sz="4" w:space="0" w:color="000000"/>
              <w:bottom w:val="single" w:sz="4" w:space="0" w:color="000000"/>
              <w:right w:val="single" w:sz="4" w:space="0" w:color="000000"/>
            </w:tcBorders>
            <w:hideMark/>
          </w:tcPr>
          <w:p w14:paraId="57457CBF" w14:textId="7B124862" w:rsidR="00942B69" w:rsidRDefault="00942B69">
            <w:pPr>
              <w:pStyle w:val="TableParagraph"/>
              <w:ind w:left="0"/>
            </w:pPr>
            <w:r>
              <w:t>Mind in Enfield</w:t>
            </w:r>
            <w:r w:rsidR="0055062E">
              <w:t xml:space="preserve"> &amp; Barnet</w:t>
            </w:r>
          </w:p>
        </w:tc>
      </w:tr>
      <w:tr w:rsidR="00942B69" w14:paraId="4FA2B93C" w14:textId="77777777" w:rsidTr="00942B69">
        <w:trPr>
          <w:trHeight w:val="291"/>
        </w:trPr>
        <w:tc>
          <w:tcPr>
            <w:tcW w:w="3265" w:type="dxa"/>
            <w:tcBorders>
              <w:top w:val="single" w:sz="4" w:space="0" w:color="000000"/>
              <w:left w:val="single" w:sz="4" w:space="0" w:color="000000"/>
              <w:bottom w:val="single" w:sz="4" w:space="0" w:color="000000"/>
              <w:right w:val="single" w:sz="4" w:space="0" w:color="000000"/>
            </w:tcBorders>
            <w:shd w:val="clear" w:color="auto" w:fill="585858"/>
            <w:hideMark/>
          </w:tcPr>
          <w:p w14:paraId="76849BC2" w14:textId="77777777" w:rsidR="00942B69" w:rsidRDefault="00942B69">
            <w:pPr>
              <w:pStyle w:val="TableParagraph"/>
              <w:spacing w:line="274" w:lineRule="exact"/>
              <w:ind w:left="0"/>
              <w:rPr>
                <w:b/>
                <w:sz w:val="24"/>
              </w:rPr>
            </w:pPr>
            <w:r>
              <w:rPr>
                <w:b/>
                <w:color w:val="F79546"/>
                <w:sz w:val="24"/>
              </w:rPr>
              <w:t>Sub-Contractor Lead</w:t>
            </w:r>
          </w:p>
        </w:tc>
        <w:tc>
          <w:tcPr>
            <w:tcW w:w="5981" w:type="dxa"/>
            <w:tcBorders>
              <w:top w:val="single" w:sz="4" w:space="0" w:color="000000"/>
              <w:left w:val="single" w:sz="4" w:space="0" w:color="000000"/>
              <w:bottom w:val="single" w:sz="4" w:space="0" w:color="000000"/>
              <w:right w:val="single" w:sz="4" w:space="0" w:color="000000"/>
            </w:tcBorders>
          </w:tcPr>
          <w:p w14:paraId="58585431" w14:textId="77777777" w:rsidR="00942B69" w:rsidRDefault="00942B69">
            <w:pPr>
              <w:pStyle w:val="TableParagraph"/>
              <w:spacing w:line="227" w:lineRule="exact"/>
              <w:ind w:left="105"/>
            </w:pPr>
          </w:p>
        </w:tc>
      </w:tr>
      <w:tr w:rsidR="00942B69" w14:paraId="06BDF18A" w14:textId="77777777" w:rsidTr="00942B69">
        <w:trPr>
          <w:trHeight w:val="268"/>
        </w:trPr>
        <w:tc>
          <w:tcPr>
            <w:tcW w:w="3265" w:type="dxa"/>
            <w:tcBorders>
              <w:top w:val="single" w:sz="4" w:space="0" w:color="000000"/>
              <w:left w:val="single" w:sz="4" w:space="0" w:color="000000"/>
              <w:bottom w:val="single" w:sz="4" w:space="0" w:color="000000"/>
              <w:right w:val="single" w:sz="4" w:space="0" w:color="000000"/>
            </w:tcBorders>
            <w:shd w:val="clear" w:color="auto" w:fill="585858"/>
            <w:hideMark/>
          </w:tcPr>
          <w:p w14:paraId="30A9200B" w14:textId="77777777" w:rsidR="00942B69" w:rsidRPr="009E4A1E" w:rsidRDefault="00942B69">
            <w:pPr>
              <w:pStyle w:val="TableParagraph"/>
              <w:spacing w:line="274" w:lineRule="exact"/>
              <w:ind w:left="0"/>
              <w:rPr>
                <w:b/>
                <w:sz w:val="24"/>
              </w:rPr>
            </w:pPr>
            <w:r w:rsidRPr="009E4A1E">
              <w:rPr>
                <w:b/>
                <w:color w:val="F79546"/>
                <w:sz w:val="24"/>
              </w:rPr>
              <w:t>Period</w:t>
            </w:r>
          </w:p>
        </w:tc>
        <w:tc>
          <w:tcPr>
            <w:tcW w:w="5981" w:type="dxa"/>
            <w:tcBorders>
              <w:top w:val="single" w:sz="4" w:space="0" w:color="000000"/>
              <w:left w:val="single" w:sz="4" w:space="0" w:color="000000"/>
              <w:bottom w:val="single" w:sz="4" w:space="0" w:color="000000"/>
              <w:right w:val="single" w:sz="4" w:space="0" w:color="000000"/>
            </w:tcBorders>
            <w:hideMark/>
          </w:tcPr>
          <w:p w14:paraId="633F1964" w14:textId="7AC730DB" w:rsidR="00942B69" w:rsidRPr="009E4A1E" w:rsidRDefault="009E4A1E">
            <w:pPr>
              <w:pStyle w:val="TableParagraph"/>
              <w:spacing w:line="227" w:lineRule="exact"/>
              <w:ind w:left="0"/>
            </w:pPr>
            <w:r w:rsidRPr="009E4A1E">
              <w:t>_________</w:t>
            </w:r>
            <w:r w:rsidR="00942B69" w:rsidRPr="009E4A1E">
              <w:t xml:space="preserve"> – 31</w:t>
            </w:r>
            <w:r w:rsidR="00942B69" w:rsidRPr="009E4A1E">
              <w:rPr>
                <w:vertAlign w:val="superscript"/>
              </w:rPr>
              <w:t>st</w:t>
            </w:r>
            <w:r w:rsidR="00942B69" w:rsidRPr="009E4A1E">
              <w:t xml:space="preserve"> March 2023</w:t>
            </w:r>
          </w:p>
        </w:tc>
      </w:tr>
      <w:tr w:rsidR="00942B69" w14:paraId="48640CAD" w14:textId="77777777" w:rsidTr="009E4A1E">
        <w:trPr>
          <w:trHeight w:val="259"/>
        </w:trPr>
        <w:tc>
          <w:tcPr>
            <w:tcW w:w="3265" w:type="dxa"/>
            <w:tcBorders>
              <w:top w:val="single" w:sz="4" w:space="0" w:color="000000"/>
              <w:left w:val="single" w:sz="4" w:space="0" w:color="000000"/>
              <w:bottom w:val="single" w:sz="4" w:space="0" w:color="000000"/>
              <w:right w:val="single" w:sz="4" w:space="0" w:color="000000"/>
            </w:tcBorders>
            <w:shd w:val="clear" w:color="auto" w:fill="585858"/>
            <w:hideMark/>
          </w:tcPr>
          <w:p w14:paraId="3FE7F74D" w14:textId="77777777" w:rsidR="00942B69" w:rsidRDefault="00942B69">
            <w:pPr>
              <w:pStyle w:val="TableParagraph"/>
              <w:ind w:left="0"/>
              <w:rPr>
                <w:b/>
                <w:sz w:val="24"/>
              </w:rPr>
            </w:pPr>
            <w:r>
              <w:rPr>
                <w:b/>
                <w:color w:val="F79546"/>
                <w:sz w:val="24"/>
              </w:rPr>
              <w:t>Date of Review</w:t>
            </w:r>
          </w:p>
        </w:tc>
        <w:tc>
          <w:tcPr>
            <w:tcW w:w="5981" w:type="dxa"/>
            <w:tcBorders>
              <w:top w:val="single" w:sz="4" w:space="0" w:color="000000"/>
              <w:left w:val="single" w:sz="4" w:space="0" w:color="000000"/>
              <w:bottom w:val="single" w:sz="4" w:space="0" w:color="000000"/>
              <w:right w:val="single" w:sz="4" w:space="0" w:color="000000"/>
            </w:tcBorders>
          </w:tcPr>
          <w:p w14:paraId="41071958" w14:textId="28A90B2D" w:rsidR="00942B69" w:rsidRDefault="00942B69">
            <w:pPr>
              <w:pStyle w:val="TableParagraph"/>
              <w:spacing w:line="229" w:lineRule="exact"/>
              <w:ind w:left="0"/>
            </w:pPr>
          </w:p>
        </w:tc>
      </w:tr>
    </w:tbl>
    <w:p w14:paraId="41471C2B" w14:textId="77777777" w:rsidR="00942B69" w:rsidRDefault="00942B69" w:rsidP="00942B69">
      <w:pPr>
        <w:spacing w:after="1"/>
        <w:rPr>
          <w:rFonts w:eastAsia="Times New Roman"/>
          <w:sz w:val="20"/>
        </w:rPr>
      </w:pPr>
    </w:p>
    <w:tbl>
      <w:tblPr>
        <w:tblW w:w="925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5"/>
      </w:tblGrid>
      <w:tr w:rsidR="00942B69" w14:paraId="72ACBC92" w14:textId="77777777" w:rsidTr="00942B69">
        <w:trPr>
          <w:trHeight w:val="337"/>
        </w:trPr>
        <w:tc>
          <w:tcPr>
            <w:tcW w:w="9262" w:type="dxa"/>
            <w:tcBorders>
              <w:top w:val="single" w:sz="4" w:space="0" w:color="000000"/>
              <w:left w:val="single" w:sz="4" w:space="0" w:color="000000"/>
              <w:bottom w:val="single" w:sz="4" w:space="0" w:color="000000"/>
              <w:right w:val="single" w:sz="4" w:space="0" w:color="000000"/>
            </w:tcBorders>
            <w:shd w:val="clear" w:color="auto" w:fill="585858"/>
            <w:hideMark/>
          </w:tcPr>
          <w:p w14:paraId="601076DC" w14:textId="77777777" w:rsidR="00942B69" w:rsidRDefault="00942B69">
            <w:pPr>
              <w:pStyle w:val="TableParagraph"/>
              <w:tabs>
                <w:tab w:val="left" w:pos="827"/>
              </w:tabs>
              <w:spacing w:line="274" w:lineRule="exact"/>
              <w:ind w:left="107"/>
              <w:rPr>
                <w:b/>
                <w:sz w:val="24"/>
              </w:rPr>
            </w:pPr>
            <w:r>
              <w:rPr>
                <w:b/>
                <w:color w:val="F79546"/>
                <w:sz w:val="24"/>
              </w:rPr>
              <w:t>1.</w:t>
            </w:r>
            <w:r>
              <w:rPr>
                <w:b/>
                <w:color w:val="F79546"/>
                <w:sz w:val="24"/>
              </w:rPr>
              <w:tab/>
              <w:t>Population Needs</w:t>
            </w:r>
          </w:p>
        </w:tc>
      </w:tr>
      <w:tr w:rsidR="00942B69" w14:paraId="203B97E7" w14:textId="77777777" w:rsidTr="00942B69">
        <w:trPr>
          <w:trHeight w:val="1266"/>
        </w:trPr>
        <w:tc>
          <w:tcPr>
            <w:tcW w:w="9262" w:type="dxa"/>
            <w:tcBorders>
              <w:top w:val="single" w:sz="4" w:space="0" w:color="000000"/>
              <w:left w:val="single" w:sz="4" w:space="0" w:color="000000"/>
              <w:bottom w:val="single" w:sz="4" w:space="0" w:color="000000"/>
              <w:right w:val="single" w:sz="4" w:space="0" w:color="000000"/>
            </w:tcBorders>
          </w:tcPr>
          <w:p w14:paraId="67CB2765" w14:textId="77777777" w:rsidR="00942B69" w:rsidRDefault="00942B69" w:rsidP="00942B69">
            <w:pPr>
              <w:pStyle w:val="TableParagraph"/>
              <w:numPr>
                <w:ilvl w:val="1"/>
                <w:numId w:val="7"/>
              </w:numPr>
              <w:spacing w:before="171"/>
              <w:ind w:right="125"/>
              <w:rPr>
                <w:b/>
                <w:bCs/>
              </w:rPr>
            </w:pPr>
            <w:r>
              <w:rPr>
                <w:b/>
                <w:bCs/>
              </w:rPr>
              <w:t xml:space="preserve">   National and local context </w:t>
            </w:r>
          </w:p>
          <w:p w14:paraId="77B33F5B" w14:textId="77777777" w:rsidR="00942B69" w:rsidRDefault="00942B69">
            <w:pPr>
              <w:pStyle w:val="TableParagraph"/>
              <w:spacing w:before="171"/>
              <w:ind w:left="0" w:right="125"/>
            </w:pPr>
            <w:r>
              <w:t>In England and Wales, about 1 in 5 people come from a Black, and minority ethnic (BAME) background. The mental health of BAME communities is important because people from these communities often face individual and societal challenges that can affect access to healthcare and overall mental and physical health.</w:t>
            </w:r>
          </w:p>
          <w:p w14:paraId="329274F4" w14:textId="77777777" w:rsidR="00942B69" w:rsidRDefault="00942B69">
            <w:pPr>
              <w:pStyle w:val="TableParagraph"/>
              <w:spacing w:before="171"/>
              <w:ind w:left="0" w:right="125"/>
            </w:pPr>
            <w:r>
              <w:t>In 2018 according to Diversity UK, about 13.8% of the UK population was from a minority ethnic background with London having 40% of its population from a Black and minority ethnic (BAME) background.</w:t>
            </w:r>
          </w:p>
          <w:p w14:paraId="379D87E3" w14:textId="77777777" w:rsidR="00942B69" w:rsidRDefault="00942B69">
            <w:pPr>
              <w:pStyle w:val="TableParagraph"/>
              <w:spacing w:before="171"/>
              <w:ind w:left="0" w:right="125"/>
            </w:pPr>
            <w:r>
              <w:t>COVID-19 has brought health inequalities to the forefront more than ever before. However, for many the reality is that these inequalities and disparities are not a new phenomenon. COVID-19 has affected members of the BAME communities at a shockingly disproportionate level. Public Health England's report Beyond the data: Understanding the impact of COVID-19 on BAME groups highlighted the rate of infection and mortality as being much higher for those from particular BAME communities than for their non-BAME counterparts.</w:t>
            </w:r>
            <w:r>
              <w:rPr>
                <w:rStyle w:val="FootnoteReference"/>
              </w:rPr>
              <w:footnoteReference w:id="1"/>
            </w:r>
          </w:p>
          <w:p w14:paraId="3172E1BD" w14:textId="77777777" w:rsidR="00942B69" w:rsidRDefault="00942B69">
            <w:pPr>
              <w:pStyle w:val="TableParagraph"/>
              <w:spacing w:before="171"/>
              <w:ind w:left="0" w:right="125"/>
            </w:pPr>
            <w:r>
              <w:t>A survey of over 14,000 adults by Mind published in June 2020 has revealed that existing inequalities in housing, employment, finances, and other issues have had a greater impact on the mental health of people from BAME groups than white people during the coronavirus pandemic.</w:t>
            </w:r>
            <w:r>
              <w:rPr>
                <w:rStyle w:val="FootnoteReference"/>
              </w:rPr>
              <w:footnoteReference w:id="2"/>
            </w:r>
          </w:p>
          <w:p w14:paraId="1F4AD412" w14:textId="77777777" w:rsidR="00942B69" w:rsidRDefault="00942B69">
            <w:pPr>
              <w:pStyle w:val="TableParagraph"/>
              <w:spacing w:before="171"/>
              <w:ind w:left="0" w:right="125"/>
            </w:pPr>
            <w:r>
              <w:t>The online survey of over 25s in England and Wales found:</w:t>
            </w:r>
          </w:p>
          <w:p w14:paraId="14B68A29" w14:textId="77777777" w:rsidR="00942B69" w:rsidRDefault="00942B69" w:rsidP="00942B69">
            <w:pPr>
              <w:pStyle w:val="TableParagraph"/>
              <w:numPr>
                <w:ilvl w:val="0"/>
                <w:numId w:val="8"/>
              </w:numPr>
              <w:ind w:left="811" w:right="125" w:hanging="357"/>
            </w:pPr>
            <w:r>
              <w:t>Almost 1 in 3 BAME people said problems with housing made their mental health worse during the pandemic, compared to almost 1 in 4 white people.</w:t>
            </w:r>
          </w:p>
          <w:p w14:paraId="39DF15A5" w14:textId="77777777" w:rsidR="00942B69" w:rsidRDefault="00942B69" w:rsidP="00942B69">
            <w:pPr>
              <w:pStyle w:val="TableParagraph"/>
              <w:numPr>
                <w:ilvl w:val="0"/>
                <w:numId w:val="8"/>
              </w:numPr>
              <w:ind w:left="811" w:right="125" w:hanging="357"/>
            </w:pPr>
            <w:r>
              <w:t>Employment worries have negatively affected the mental health of 61 per cent of BAME people, compared to 51 per cent of white people</w:t>
            </w:r>
          </w:p>
          <w:p w14:paraId="3E4E311C" w14:textId="77777777" w:rsidR="00942B69" w:rsidRDefault="00942B69" w:rsidP="00942B69">
            <w:pPr>
              <w:pStyle w:val="TableParagraph"/>
              <w:numPr>
                <w:ilvl w:val="0"/>
                <w:numId w:val="8"/>
              </w:numPr>
              <w:ind w:left="811" w:right="125" w:hanging="357"/>
            </w:pPr>
            <w:r>
              <w:lastRenderedPageBreak/>
              <w:t>Concerns about finances worsened the mental health of 52 per cent of people who identified as BAME, compared to 45 per cent of those who identified as white.</w:t>
            </w:r>
          </w:p>
          <w:p w14:paraId="58BED4AA" w14:textId="77777777" w:rsidR="00942B69" w:rsidRDefault="00942B69" w:rsidP="00942B69">
            <w:pPr>
              <w:pStyle w:val="TableParagraph"/>
              <w:numPr>
                <w:ilvl w:val="0"/>
                <w:numId w:val="8"/>
              </w:numPr>
              <w:ind w:left="811" w:right="125" w:hanging="357"/>
            </w:pPr>
            <w:r>
              <w:t>Other issues saw a similar pattern, including getting support for a physical health problem (39 per cent vs 29 per cent) and being a carer (30 per cent vs 23 per cent).</w:t>
            </w:r>
          </w:p>
          <w:p w14:paraId="2BF16144" w14:textId="77777777" w:rsidR="00942B69" w:rsidRDefault="00942B69">
            <w:pPr>
              <w:pStyle w:val="TableParagraph"/>
              <w:ind w:left="811" w:right="125"/>
            </w:pPr>
          </w:p>
          <w:p w14:paraId="662D2992" w14:textId="21EAD708" w:rsidR="00942B69" w:rsidRDefault="00942B69">
            <w:pPr>
              <w:rPr>
                <w:rFonts w:ascii="Arial" w:hAnsi="Arial" w:cs="Arial"/>
              </w:rPr>
            </w:pPr>
            <w:r>
              <w:rPr>
                <w:noProof/>
              </w:rPr>
              <w:drawing>
                <wp:anchor distT="0" distB="0" distL="0" distR="0" simplePos="0" relativeHeight="251676672" behindDoc="0" locked="0" layoutInCell="1" allowOverlap="1" wp14:anchorId="7049AD24" wp14:editId="14CD455E">
                  <wp:simplePos x="0" y="0"/>
                  <wp:positionH relativeFrom="page">
                    <wp:posOffset>853440</wp:posOffset>
                  </wp:positionH>
                  <wp:positionV relativeFrom="paragraph">
                    <wp:posOffset>742950</wp:posOffset>
                  </wp:positionV>
                  <wp:extent cx="4058920" cy="27463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8920" cy="2746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Enfield has a large, diverse population and has areas of high deprivation. 65% of residents are estimated to be from ethnic groups other than White British. Overseas-born residents make up 39% of the borough’s population. The top five non-English languages spoken by Enfield school pupils are Turkish, Somali, Polish, Albanian/Shqip and Bengali.</w:t>
            </w:r>
          </w:p>
          <w:p w14:paraId="6DA0A4E5" w14:textId="77777777" w:rsidR="00942B69" w:rsidRDefault="00942B69">
            <w:pPr>
              <w:rPr>
                <w:rFonts w:ascii="Arial" w:hAnsi="Arial" w:cs="Arial"/>
              </w:rPr>
            </w:pPr>
          </w:p>
          <w:p w14:paraId="46E2E3BF" w14:textId="77777777" w:rsidR="00942B69" w:rsidRDefault="00942B69">
            <w:pPr>
              <w:rPr>
                <w:rFonts w:cs="Arial"/>
              </w:rPr>
            </w:pPr>
            <w:r>
              <w:rPr>
                <w:rFonts w:cs="Arial"/>
              </w:rPr>
              <w:t xml:space="preserve">Source: Enfield Knowledge &amp; Insight Hub </w:t>
            </w:r>
          </w:p>
          <w:p w14:paraId="0947E849" w14:textId="77777777" w:rsidR="00942B69" w:rsidRDefault="00942B69">
            <w:pPr>
              <w:rPr>
                <w:rFonts w:cs="Arial"/>
              </w:rPr>
            </w:pPr>
          </w:p>
          <w:p w14:paraId="26A70074" w14:textId="7468E55D" w:rsidR="00942B69" w:rsidRDefault="00942B69">
            <w:pPr>
              <w:rPr>
                <w:rFonts w:ascii="Arial" w:hAnsi="Arial" w:cs="Arial"/>
              </w:rPr>
            </w:pPr>
            <w:r>
              <w:rPr>
                <w:rFonts w:ascii="Times New Roman" w:hAnsi="Times New Roman" w:cs="Times New Roman"/>
                <w:noProof/>
                <w:sz w:val="24"/>
                <w:szCs w:val="24"/>
              </w:rPr>
              <w:lastRenderedPageBreak/>
              <w:drawing>
                <wp:anchor distT="0" distB="0" distL="0" distR="0" simplePos="0" relativeHeight="251677696" behindDoc="0" locked="0" layoutInCell="1" allowOverlap="1" wp14:anchorId="5584231E" wp14:editId="43F3A0B4">
                  <wp:simplePos x="0" y="0"/>
                  <wp:positionH relativeFrom="page">
                    <wp:posOffset>381635</wp:posOffset>
                  </wp:positionH>
                  <wp:positionV relativeFrom="paragraph">
                    <wp:posOffset>572770</wp:posOffset>
                  </wp:positionV>
                  <wp:extent cx="5019040" cy="33045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040" cy="33045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xml:space="preserve">The Office for National Statistics (ONS) published estimates (higher than Enfield) in 2019 of the distribution of the ‘main’ ethnic groups used in statistical releases. The table below shows the ONS estimate of ethnicities in Enfield, with regional and national comparators. </w:t>
            </w:r>
          </w:p>
          <w:p w14:paraId="6FC92400" w14:textId="77777777" w:rsidR="00942B69" w:rsidRDefault="00942B69">
            <w:pPr>
              <w:rPr>
                <w:rFonts w:ascii="Arial" w:hAnsi="Arial" w:cs="Arial"/>
              </w:rPr>
            </w:pPr>
          </w:p>
          <w:p w14:paraId="1277073E" w14:textId="77777777" w:rsidR="00942B69" w:rsidRDefault="00942B69">
            <w:pPr>
              <w:pStyle w:val="TableParagraph"/>
              <w:spacing w:before="171"/>
              <w:ind w:left="0" w:right="125"/>
              <w:rPr>
                <w:color w:val="000000" w:themeColor="text1"/>
              </w:rPr>
            </w:pPr>
            <w:r>
              <w:rPr>
                <w:color w:val="000000" w:themeColor="text1"/>
              </w:rPr>
              <w:t>Evidence has shown that the mental health needs of the BME groups are often not met, and that services responses and approaches have not always been the most appropriate or relevant (Bhui ed 2002).</w:t>
            </w:r>
            <w:r>
              <w:rPr>
                <w:rStyle w:val="FootnoteReference"/>
                <w:color w:val="000000" w:themeColor="text1"/>
              </w:rPr>
              <w:footnoteReference w:id="3"/>
            </w:r>
            <w:r>
              <w:rPr>
                <w:color w:val="000000" w:themeColor="text1"/>
              </w:rPr>
              <w:t xml:space="preserve"> Findings for mental health and mental health services indicate high levels of disadvantage and inequality for BME communities. The evidence shows that individuals from BAME communities are more likely to be subject to: </w:t>
            </w:r>
          </w:p>
          <w:p w14:paraId="7B5D9715" w14:textId="77777777" w:rsidR="00942B69" w:rsidRDefault="00942B69">
            <w:pPr>
              <w:pStyle w:val="TableParagraph"/>
              <w:spacing w:before="171"/>
              <w:ind w:left="0" w:right="125"/>
              <w:rPr>
                <w:color w:val="000000" w:themeColor="text1"/>
              </w:rPr>
            </w:pPr>
          </w:p>
          <w:p w14:paraId="5079FE5C" w14:textId="77777777" w:rsidR="00942B69" w:rsidRDefault="00942B69" w:rsidP="00942B69">
            <w:pPr>
              <w:pStyle w:val="TableParagraph"/>
              <w:numPr>
                <w:ilvl w:val="0"/>
                <w:numId w:val="9"/>
              </w:numPr>
              <w:ind w:left="714" w:right="125" w:hanging="357"/>
              <w:rPr>
                <w:color w:val="000000" w:themeColor="text1"/>
              </w:rPr>
            </w:pPr>
            <w:r>
              <w:rPr>
                <w:color w:val="000000" w:themeColor="text1"/>
              </w:rPr>
              <w:t xml:space="preserve">over-diagnosis of schizophrenia and under-diagnosis of depression or affective disorder. </w:t>
            </w:r>
          </w:p>
          <w:p w14:paraId="731FE177" w14:textId="77777777" w:rsidR="00942B69" w:rsidRDefault="00942B69" w:rsidP="00942B69">
            <w:pPr>
              <w:pStyle w:val="TableParagraph"/>
              <w:numPr>
                <w:ilvl w:val="0"/>
                <w:numId w:val="9"/>
              </w:numPr>
              <w:ind w:left="714" w:right="125" w:hanging="357"/>
              <w:rPr>
                <w:color w:val="000000" w:themeColor="text1"/>
              </w:rPr>
            </w:pPr>
            <w:r>
              <w:rPr>
                <w:color w:val="000000" w:themeColor="text1"/>
              </w:rPr>
              <w:t xml:space="preserve">compulsory admission under the Mental Health Act, 1983 (Mental Health Act Commission 1999) </w:t>
            </w:r>
          </w:p>
          <w:p w14:paraId="29198E77" w14:textId="77777777" w:rsidR="00942B69" w:rsidRDefault="00942B69" w:rsidP="00942B69">
            <w:pPr>
              <w:pStyle w:val="TableParagraph"/>
              <w:numPr>
                <w:ilvl w:val="0"/>
                <w:numId w:val="9"/>
              </w:numPr>
              <w:ind w:left="714" w:right="125" w:hanging="357"/>
              <w:rPr>
                <w:color w:val="000000" w:themeColor="text1"/>
              </w:rPr>
            </w:pPr>
            <w:r>
              <w:rPr>
                <w:color w:val="000000" w:themeColor="text1"/>
              </w:rPr>
              <w:t xml:space="preserve">involvement of police in admission to hospital and the use of Section 136/137 of the Mental Health Act, 1983 </w:t>
            </w:r>
          </w:p>
          <w:p w14:paraId="547B2500" w14:textId="77777777" w:rsidR="00942B69" w:rsidRDefault="00942B69" w:rsidP="00942B69">
            <w:pPr>
              <w:pStyle w:val="TableParagraph"/>
              <w:numPr>
                <w:ilvl w:val="0"/>
                <w:numId w:val="9"/>
              </w:numPr>
              <w:ind w:left="714" w:right="125" w:hanging="357"/>
              <w:rPr>
                <w:color w:val="000000" w:themeColor="text1"/>
              </w:rPr>
            </w:pPr>
            <w:r>
              <w:rPr>
                <w:color w:val="000000" w:themeColor="text1"/>
              </w:rPr>
              <w:t xml:space="preserve">over-use of psychotropic medication </w:t>
            </w:r>
          </w:p>
          <w:p w14:paraId="13474C91" w14:textId="77777777" w:rsidR="00942B69" w:rsidRDefault="00942B69" w:rsidP="00942B69">
            <w:pPr>
              <w:pStyle w:val="TableParagraph"/>
              <w:numPr>
                <w:ilvl w:val="0"/>
                <w:numId w:val="9"/>
              </w:numPr>
              <w:ind w:left="714" w:right="125" w:hanging="357"/>
              <w:rPr>
                <w:color w:val="000000" w:themeColor="text1"/>
              </w:rPr>
            </w:pPr>
            <w:r>
              <w:rPr>
                <w:color w:val="000000" w:themeColor="text1"/>
              </w:rPr>
              <w:t xml:space="preserve">admission to medium- and high-secure facilities </w:t>
            </w:r>
          </w:p>
          <w:p w14:paraId="315108CE" w14:textId="77777777" w:rsidR="00942B69" w:rsidRDefault="00942B69" w:rsidP="00942B69">
            <w:pPr>
              <w:pStyle w:val="TableParagraph"/>
              <w:numPr>
                <w:ilvl w:val="0"/>
                <w:numId w:val="9"/>
              </w:numPr>
              <w:ind w:left="714" w:right="125" w:hanging="357"/>
              <w:rPr>
                <w:color w:val="000000" w:themeColor="text1"/>
              </w:rPr>
            </w:pPr>
            <w:r>
              <w:rPr>
                <w:color w:val="000000" w:themeColor="text1"/>
              </w:rPr>
              <w:t xml:space="preserve">excessive admissions to hospital, especially via the courts. </w:t>
            </w:r>
          </w:p>
          <w:p w14:paraId="0CCB8E2C" w14:textId="77777777" w:rsidR="00942B69" w:rsidRDefault="00942B69">
            <w:pPr>
              <w:pStyle w:val="TableParagraph"/>
              <w:spacing w:before="171"/>
              <w:ind w:left="0" w:right="125"/>
              <w:rPr>
                <w:color w:val="000000" w:themeColor="text1"/>
              </w:rPr>
            </w:pPr>
            <w:r>
              <w:rPr>
                <w:color w:val="000000" w:themeColor="text1"/>
              </w:rPr>
              <w:t>People from a BME background are less likely to be referred for psychotherapy, psychological treatments, counselling, or other complementary treatments.</w:t>
            </w:r>
            <w:r>
              <w:rPr>
                <w:rStyle w:val="FootnoteReference"/>
                <w:color w:val="000000" w:themeColor="text1"/>
              </w:rPr>
              <w:footnoteReference w:id="4"/>
            </w:r>
          </w:p>
          <w:p w14:paraId="7819DE76" w14:textId="77777777" w:rsidR="00942B69" w:rsidRDefault="00942B69">
            <w:pPr>
              <w:rPr>
                <w:rFonts w:ascii="Arial" w:hAnsi="Arial" w:cs="Arial"/>
                <w:color w:val="000000" w:themeColor="text1"/>
                <w:lang w:val="en-US"/>
              </w:rPr>
            </w:pPr>
          </w:p>
          <w:p w14:paraId="137842B7" w14:textId="77777777" w:rsidR="00942B69" w:rsidRDefault="00942B69">
            <w:pPr>
              <w:rPr>
                <w:rFonts w:ascii="Arial" w:hAnsi="Arial" w:cs="Arial"/>
                <w:color w:val="000000" w:themeColor="text1"/>
                <w:lang w:val="en-US"/>
              </w:rPr>
            </w:pPr>
            <w:r>
              <w:rPr>
                <w:rFonts w:ascii="Arial" w:hAnsi="Arial" w:cs="Arial"/>
                <w:color w:val="000000" w:themeColor="text1"/>
                <w:lang w:val="en-US"/>
              </w:rPr>
              <w:lastRenderedPageBreak/>
              <w:t>Successive reviews have found that people from black and minority ethnic (BAME) communities, particularly young men, are over-represented in inpatient and secure settings and more likely to be admitted into mental health services via the criminal justice system.</w:t>
            </w:r>
            <w:r>
              <w:rPr>
                <w:rStyle w:val="FootnoteReference"/>
                <w:color w:val="000000" w:themeColor="text1"/>
                <w:lang w:val="en-US"/>
              </w:rPr>
              <w:footnoteReference w:id="5"/>
            </w:r>
            <w:r>
              <w:rPr>
                <w:rFonts w:ascii="Arial" w:hAnsi="Arial" w:cs="Arial"/>
                <w:color w:val="000000" w:themeColor="text1"/>
                <w:lang w:val="en-US"/>
              </w:rPr>
              <w:t xml:space="preserve"> </w:t>
            </w:r>
            <w:r>
              <w:rPr>
                <w:rStyle w:val="FootnoteReference"/>
                <w:color w:val="000000" w:themeColor="text1"/>
                <w:lang w:val="en-US"/>
              </w:rPr>
              <w:footnoteReference w:id="6"/>
            </w:r>
            <w:r>
              <w:rPr>
                <w:rFonts w:ascii="Arial" w:hAnsi="Arial" w:cs="Arial"/>
                <w:color w:val="000000" w:themeColor="text1"/>
                <w:lang w:val="en-US"/>
              </w:rPr>
              <w:t xml:space="preserve"> </w:t>
            </w:r>
            <w:r>
              <w:rPr>
                <w:rStyle w:val="FootnoteReference"/>
                <w:color w:val="000000" w:themeColor="text1"/>
                <w:lang w:val="en-US"/>
              </w:rPr>
              <w:footnoteReference w:id="7"/>
            </w:r>
          </w:p>
          <w:p w14:paraId="07A4250D" w14:textId="77777777" w:rsidR="00942B69" w:rsidRDefault="00942B69">
            <w:pPr>
              <w:rPr>
                <w:rFonts w:ascii="Arial" w:hAnsi="Arial" w:cs="Arial"/>
                <w:color w:val="000000" w:themeColor="text1"/>
                <w:lang w:val="en-US"/>
              </w:rPr>
            </w:pPr>
          </w:p>
          <w:p w14:paraId="3F2E0A89" w14:textId="77777777" w:rsidR="00942B69" w:rsidRDefault="00942B69">
            <w:pPr>
              <w:rPr>
                <w:rFonts w:ascii="Arial" w:hAnsi="Arial" w:cs="Arial"/>
                <w:color w:val="000000" w:themeColor="text1"/>
                <w:lang w:val="en-US"/>
              </w:rPr>
            </w:pPr>
            <w:r>
              <w:rPr>
                <w:rFonts w:ascii="Arial" w:hAnsi="Arial" w:cs="Arial"/>
                <w:color w:val="000000" w:themeColor="text1"/>
                <w:lang w:val="en-US"/>
              </w:rPr>
              <w:t>The Mental Health Act is more likely to be used for people from BAME communities. Services were found to be culturally inappropriate.</w:t>
            </w:r>
            <w:r>
              <w:rPr>
                <w:rStyle w:val="FootnoteReference"/>
                <w:color w:val="000000" w:themeColor="text1"/>
                <w:lang w:val="en-US"/>
              </w:rPr>
              <w:footnoteReference w:id="8"/>
            </w:r>
            <w:r>
              <w:rPr>
                <w:rFonts w:ascii="Arial" w:hAnsi="Arial" w:cs="Arial"/>
                <w:color w:val="000000" w:themeColor="text1"/>
                <w:lang w:val="en-US"/>
              </w:rPr>
              <w:t xml:space="preserve"> The Care Quality Commission has reported higher rates of usage of CTOs (Community treatment orders) for people from BME groups.</w:t>
            </w:r>
            <w:r>
              <w:rPr>
                <w:rStyle w:val="FootnoteReference"/>
                <w:color w:val="000000" w:themeColor="text1"/>
                <w:lang w:val="en-US"/>
              </w:rPr>
              <w:footnoteReference w:id="9"/>
            </w:r>
            <w:r>
              <w:rPr>
                <w:rFonts w:ascii="Arial" w:hAnsi="Arial" w:cs="Arial"/>
                <w:color w:val="000000" w:themeColor="text1"/>
                <w:lang w:val="en-US"/>
              </w:rPr>
              <w:t xml:space="preserve"> </w:t>
            </w:r>
          </w:p>
          <w:p w14:paraId="6457070E" w14:textId="77777777" w:rsidR="00942B69" w:rsidRDefault="00942B69">
            <w:pPr>
              <w:rPr>
                <w:rFonts w:ascii="Arial" w:hAnsi="Arial" w:cs="Arial"/>
                <w:color w:val="000000" w:themeColor="text1"/>
                <w:lang w:val="en-US"/>
              </w:rPr>
            </w:pPr>
          </w:p>
          <w:p w14:paraId="79B68364" w14:textId="77777777" w:rsidR="00942B69" w:rsidRDefault="00942B69">
            <w:pPr>
              <w:rPr>
                <w:rFonts w:ascii="Arial" w:hAnsi="Arial" w:cs="Arial"/>
                <w:color w:val="000000" w:themeColor="text1"/>
                <w:lang w:val="en-US"/>
              </w:rPr>
            </w:pPr>
            <w:r>
              <w:rPr>
                <w:rFonts w:ascii="Arial" w:hAnsi="Arial" w:cs="Arial"/>
                <w:color w:val="000000" w:themeColor="text1"/>
                <w:lang w:val="en-US"/>
              </w:rPr>
              <w:t>There is also evidence that primary care services need to play a bigger role and that greater use of community-led organisations can be effective. The literature describes a ‘cycle of fear’: people from BME groups are wary of the services, and services in turn are fearful of young black men, with staff lacking in confidence and knowledge in responding to their needs. It was also reported that all these issues were underpinned by underlying prejudice and discrimination.</w:t>
            </w:r>
          </w:p>
          <w:p w14:paraId="69DB9554" w14:textId="77777777" w:rsidR="00942B69" w:rsidRDefault="00942B69">
            <w:pPr>
              <w:rPr>
                <w:rFonts w:ascii="Arial" w:hAnsi="Arial" w:cs="Arial"/>
              </w:rPr>
            </w:pPr>
          </w:p>
          <w:p w14:paraId="27FC970D" w14:textId="77777777" w:rsidR="00942B69" w:rsidRDefault="00942B69">
            <w:pPr>
              <w:rPr>
                <w:rFonts w:ascii="Arial" w:hAnsi="Arial" w:cs="Arial"/>
              </w:rPr>
            </w:pPr>
          </w:p>
        </w:tc>
      </w:tr>
    </w:tbl>
    <w:p w14:paraId="293F4C04" w14:textId="77777777" w:rsidR="00942B69" w:rsidRDefault="00942B69" w:rsidP="00942B69">
      <w:pPr>
        <w:spacing w:after="1"/>
        <w:rPr>
          <w:rFonts w:ascii="Times New Roman" w:eastAsia="Times New Roman" w:hAnsi="Times New Roman" w:cs="Times New Roman"/>
          <w:sz w:val="20"/>
          <w:szCs w:val="24"/>
          <w:lang w:eastAsia="en-GB"/>
        </w:rPr>
      </w:pPr>
    </w:p>
    <w:tbl>
      <w:tblPr>
        <w:tblW w:w="925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5"/>
      </w:tblGrid>
      <w:tr w:rsidR="00942B69" w14:paraId="3CA28709" w14:textId="77777777" w:rsidTr="00942B69">
        <w:trPr>
          <w:trHeight w:val="337"/>
        </w:trPr>
        <w:tc>
          <w:tcPr>
            <w:tcW w:w="9262" w:type="dxa"/>
            <w:tcBorders>
              <w:top w:val="single" w:sz="4" w:space="0" w:color="000000"/>
              <w:left w:val="single" w:sz="4" w:space="0" w:color="000000"/>
              <w:bottom w:val="single" w:sz="4" w:space="0" w:color="000000"/>
              <w:right w:val="single" w:sz="4" w:space="0" w:color="000000"/>
            </w:tcBorders>
            <w:shd w:val="clear" w:color="auto" w:fill="585858"/>
            <w:hideMark/>
          </w:tcPr>
          <w:p w14:paraId="7C53F9C9" w14:textId="77777777" w:rsidR="00942B69" w:rsidRDefault="00942B69">
            <w:pPr>
              <w:pStyle w:val="TableParagraph"/>
              <w:tabs>
                <w:tab w:val="left" w:pos="827"/>
              </w:tabs>
              <w:spacing w:line="274" w:lineRule="exact"/>
              <w:ind w:left="107"/>
              <w:rPr>
                <w:b/>
                <w:color w:val="F79546"/>
                <w:sz w:val="24"/>
              </w:rPr>
            </w:pPr>
            <w:r>
              <w:rPr>
                <w:b/>
                <w:color w:val="F79546"/>
                <w:sz w:val="24"/>
              </w:rPr>
              <w:t>2.</w:t>
            </w:r>
            <w:r>
              <w:rPr>
                <w:b/>
                <w:color w:val="F79546"/>
                <w:sz w:val="24"/>
              </w:rPr>
              <w:tab/>
              <w:t>Purpose</w:t>
            </w:r>
          </w:p>
        </w:tc>
      </w:tr>
      <w:tr w:rsidR="00942B69" w14:paraId="20242F31" w14:textId="77777777" w:rsidTr="00942B69">
        <w:trPr>
          <w:trHeight w:val="1484"/>
        </w:trPr>
        <w:tc>
          <w:tcPr>
            <w:tcW w:w="9262" w:type="dxa"/>
            <w:tcBorders>
              <w:top w:val="single" w:sz="4" w:space="0" w:color="000000"/>
              <w:left w:val="single" w:sz="4" w:space="0" w:color="000000"/>
              <w:bottom w:val="single" w:sz="4" w:space="0" w:color="000000"/>
              <w:right w:val="single" w:sz="4" w:space="0" w:color="000000"/>
            </w:tcBorders>
          </w:tcPr>
          <w:p w14:paraId="42233737" w14:textId="77777777" w:rsidR="00942B69" w:rsidRDefault="00942B69">
            <w:pPr>
              <w:rPr>
                <w:rFonts w:ascii="Arial" w:hAnsi="Arial" w:cs="Arial"/>
              </w:rPr>
            </w:pPr>
            <w:r>
              <w:rPr>
                <w:rFonts w:ascii="Arial" w:hAnsi="Arial" w:cs="Arial"/>
              </w:rPr>
              <w:t>The purpose of this Service Specification is to outline the requirements for __________ (the chosen provider) via the Lead Provider for the Voluntary and Community Sector (VCS) in the delivery of Black and Minority Ethnic (BAME) Population Advocacy.</w:t>
            </w:r>
          </w:p>
          <w:p w14:paraId="5C0A15BE" w14:textId="77777777" w:rsidR="00942B69" w:rsidRDefault="00942B69">
            <w:pPr>
              <w:rPr>
                <w:rFonts w:ascii="Arial" w:hAnsi="Arial" w:cs="Arial"/>
              </w:rPr>
            </w:pPr>
          </w:p>
          <w:p w14:paraId="09F0EEEC" w14:textId="77777777" w:rsidR="00942B69" w:rsidRDefault="00942B69">
            <w:pPr>
              <w:rPr>
                <w:rFonts w:ascii="Arial" w:eastAsia="Arial" w:hAnsi="Arial" w:cs="Arial"/>
              </w:rPr>
            </w:pPr>
            <w:r>
              <w:rPr>
                <w:rFonts w:ascii="Arial" w:eastAsia="Arial" w:hAnsi="Arial" w:cs="Arial"/>
              </w:rPr>
              <w:t>Enfield’s system providers, including the Voluntary and Community Sector (VCS) organisations, are a crucial part of the delivery of NHS England’s strategic ambitions in the Long Term Plan.  A key part of the development of Integrated Care Systems and Primary Care Networks Enfield is maintaining a vibrant and diverse Voluntary and Community sector.</w:t>
            </w:r>
          </w:p>
          <w:p w14:paraId="7B0A7F7D" w14:textId="77777777" w:rsidR="00942B69" w:rsidRDefault="00942B69">
            <w:pPr>
              <w:rPr>
                <w:rFonts w:ascii="Arial" w:eastAsia="Arial" w:hAnsi="Arial" w:cs="Arial"/>
              </w:rPr>
            </w:pPr>
          </w:p>
          <w:p w14:paraId="5CC9E19C" w14:textId="77777777" w:rsidR="00942B69" w:rsidRDefault="00942B69">
            <w:pPr>
              <w:spacing w:line="300" w:lineRule="atLeast"/>
              <w:rPr>
                <w:rFonts w:ascii="Arial" w:eastAsia="Arial" w:hAnsi="Arial" w:cs="Arial"/>
              </w:rPr>
            </w:pPr>
            <w:r>
              <w:rPr>
                <w:rFonts w:ascii="Arial" w:eastAsia="Arial" w:hAnsi="Arial" w:cs="Arial"/>
              </w:rPr>
              <w:t>Via the Lead Provider model, ___________________ (the chosen provider) will:</w:t>
            </w:r>
          </w:p>
          <w:p w14:paraId="47E0F99C" w14:textId="77777777" w:rsidR="00942B69" w:rsidRDefault="00942B69" w:rsidP="00942B69">
            <w:pPr>
              <w:pStyle w:val="ListParagraph"/>
              <w:numPr>
                <w:ilvl w:val="0"/>
                <w:numId w:val="10"/>
              </w:numPr>
              <w:spacing w:after="0" w:line="300" w:lineRule="atLeast"/>
              <w:contextualSpacing w:val="0"/>
              <w:rPr>
                <w:rFonts w:ascii="Arial" w:eastAsia="Times New Roman" w:hAnsi="Arial" w:cs="Arial"/>
                <w:lang w:val="en-US"/>
              </w:rPr>
            </w:pPr>
            <w:r>
              <w:rPr>
                <w:rFonts w:ascii="Arial" w:eastAsia="Arial" w:hAnsi="Arial" w:cs="Arial"/>
              </w:rPr>
              <w:t xml:space="preserve">Provide an advocacy service for Ethnic Minority populations registered with a GP in Enfield. </w:t>
            </w:r>
          </w:p>
          <w:p w14:paraId="1CD4AAA5" w14:textId="77777777" w:rsidR="00942B69" w:rsidRDefault="00942B69" w:rsidP="00942B69">
            <w:pPr>
              <w:pStyle w:val="ListParagraph"/>
              <w:numPr>
                <w:ilvl w:val="0"/>
                <w:numId w:val="10"/>
              </w:numPr>
              <w:spacing w:after="0" w:line="240" w:lineRule="auto"/>
              <w:contextualSpacing w:val="0"/>
              <w:rPr>
                <w:rFonts w:ascii="Arial" w:eastAsia="Arial" w:hAnsi="Arial" w:cs="Arial"/>
              </w:rPr>
            </w:pPr>
            <w:r>
              <w:rPr>
                <w:rFonts w:ascii="Arial" w:eastAsia="Arial" w:hAnsi="Arial" w:cs="Arial"/>
              </w:rPr>
              <w:lastRenderedPageBreak/>
              <w:t xml:space="preserve">Provide one to one (time limited, according to client need) issue-based advocacy, delivered through a range of media (email, telephone, face to face) and settings as required to meet the needs of the population  </w:t>
            </w:r>
          </w:p>
          <w:p w14:paraId="25A32EAB" w14:textId="77777777" w:rsidR="00942B69" w:rsidRDefault="00942B69" w:rsidP="00942B69">
            <w:pPr>
              <w:pStyle w:val="ListParagraph"/>
              <w:numPr>
                <w:ilvl w:val="0"/>
                <w:numId w:val="10"/>
              </w:numPr>
              <w:spacing w:after="0" w:line="240" w:lineRule="auto"/>
              <w:contextualSpacing w:val="0"/>
              <w:rPr>
                <w:rFonts w:ascii="Arial" w:eastAsia="Arial" w:hAnsi="Arial" w:cs="Arial"/>
              </w:rPr>
            </w:pPr>
            <w:r>
              <w:rPr>
                <w:rFonts w:ascii="Arial" w:eastAsia="Arial" w:hAnsi="Arial" w:cs="Arial"/>
              </w:rPr>
              <w:t>Undertake targeted promotion and provide culturally appropriate information on the advocacy service, and relevant issues and rights including Mental Health information and Legal Rights.</w:t>
            </w:r>
          </w:p>
          <w:p w14:paraId="00422ED7" w14:textId="77777777" w:rsidR="00942B69" w:rsidRDefault="00942B69" w:rsidP="00942B69">
            <w:pPr>
              <w:pStyle w:val="ListParagraph"/>
              <w:numPr>
                <w:ilvl w:val="0"/>
                <w:numId w:val="10"/>
              </w:numPr>
              <w:spacing w:after="0" w:line="240" w:lineRule="auto"/>
              <w:contextualSpacing w:val="0"/>
              <w:rPr>
                <w:rFonts w:ascii="Arial" w:eastAsia="Arial" w:hAnsi="Arial" w:cs="Arial"/>
              </w:rPr>
            </w:pPr>
            <w:r>
              <w:rPr>
                <w:rFonts w:ascii="Arial" w:eastAsia="Arial" w:hAnsi="Arial" w:cs="Arial"/>
              </w:rPr>
              <w:t xml:space="preserve">Build service capacity and community resilience by developing Group Advocacy and peer advocacy networks  </w:t>
            </w:r>
          </w:p>
          <w:p w14:paraId="060BA3FC" w14:textId="77777777" w:rsidR="00942B69" w:rsidRDefault="00942B69" w:rsidP="00942B69">
            <w:pPr>
              <w:pStyle w:val="ListParagraph"/>
              <w:numPr>
                <w:ilvl w:val="0"/>
                <w:numId w:val="10"/>
              </w:numPr>
              <w:spacing w:after="0" w:line="240" w:lineRule="auto"/>
              <w:contextualSpacing w:val="0"/>
              <w:rPr>
                <w:rFonts w:ascii="Arial" w:eastAsia="Arial" w:hAnsi="Arial" w:cs="Arial"/>
              </w:rPr>
            </w:pPr>
            <w:r>
              <w:rPr>
                <w:rFonts w:ascii="Arial" w:eastAsia="Arial" w:hAnsi="Arial" w:cs="Arial"/>
              </w:rPr>
              <w:t xml:space="preserve">Encourage the development of self-advocacy skills throughout all engagements to move towards independence. </w:t>
            </w:r>
          </w:p>
          <w:p w14:paraId="079E9EAB" w14:textId="77777777" w:rsidR="00942B69" w:rsidRDefault="00942B69" w:rsidP="00942B69">
            <w:pPr>
              <w:pStyle w:val="ListParagraph"/>
              <w:numPr>
                <w:ilvl w:val="0"/>
                <w:numId w:val="10"/>
              </w:numPr>
              <w:spacing w:after="0" w:line="240" w:lineRule="auto"/>
              <w:contextualSpacing w:val="0"/>
              <w:rPr>
                <w:rFonts w:ascii="Arial" w:eastAsia="Arial" w:hAnsi="Arial" w:cs="Arial"/>
              </w:rPr>
            </w:pPr>
            <w:r>
              <w:rPr>
                <w:rFonts w:ascii="Arial" w:eastAsia="Arial" w:hAnsi="Arial" w:cs="Arial"/>
              </w:rPr>
              <w:t>Ensure that all work is underpinned by the Advocacy Charter principles</w:t>
            </w:r>
          </w:p>
          <w:p w14:paraId="6B39B6BC" w14:textId="77777777" w:rsidR="00942B69" w:rsidRDefault="00942B69" w:rsidP="00942B69">
            <w:pPr>
              <w:pStyle w:val="ListParagraph"/>
              <w:numPr>
                <w:ilvl w:val="0"/>
                <w:numId w:val="10"/>
              </w:numPr>
              <w:spacing w:after="0" w:line="240" w:lineRule="auto"/>
              <w:contextualSpacing w:val="0"/>
              <w:rPr>
                <w:rFonts w:ascii="Arial" w:eastAsia="Arial" w:hAnsi="Arial" w:cs="Arial"/>
                <w:sz w:val="24"/>
                <w:szCs w:val="24"/>
              </w:rPr>
            </w:pPr>
            <w:r>
              <w:rPr>
                <w:rFonts w:ascii="Arial" w:hAnsi="Arial" w:cs="Arial"/>
                <w:lang w:val="en-US"/>
              </w:rPr>
              <w:t>Work with the Lead Provider to identify additional community needs and develop strategies to meet these and improve organisational and community resilience.</w:t>
            </w:r>
          </w:p>
        </w:tc>
      </w:tr>
    </w:tbl>
    <w:p w14:paraId="2733216D" w14:textId="77777777" w:rsidR="00942B69" w:rsidRDefault="00942B69" w:rsidP="00942B69">
      <w:pPr>
        <w:rPr>
          <w:rFonts w:ascii="Times New Roman" w:eastAsia="Times New Roman" w:hAnsi="Times New Roman" w:cs="Times New Roman"/>
          <w:lang w:eastAsia="en-GB"/>
        </w:rPr>
      </w:pPr>
    </w:p>
    <w:tbl>
      <w:tblPr>
        <w:tblW w:w="925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5"/>
      </w:tblGrid>
      <w:tr w:rsidR="00942B69" w14:paraId="6BD81D07" w14:textId="77777777" w:rsidTr="00942B69">
        <w:trPr>
          <w:trHeight w:val="337"/>
        </w:trPr>
        <w:tc>
          <w:tcPr>
            <w:tcW w:w="9262" w:type="dxa"/>
            <w:tcBorders>
              <w:top w:val="single" w:sz="4" w:space="0" w:color="000000"/>
              <w:left w:val="single" w:sz="4" w:space="0" w:color="000000"/>
              <w:bottom w:val="single" w:sz="4" w:space="0" w:color="000000"/>
              <w:right w:val="single" w:sz="4" w:space="0" w:color="000000"/>
            </w:tcBorders>
            <w:shd w:val="clear" w:color="auto" w:fill="585858"/>
            <w:hideMark/>
          </w:tcPr>
          <w:p w14:paraId="6F961608" w14:textId="77777777" w:rsidR="00942B69" w:rsidRDefault="00942B69">
            <w:pPr>
              <w:pStyle w:val="TableParagraph"/>
              <w:tabs>
                <w:tab w:val="left" w:pos="827"/>
              </w:tabs>
              <w:spacing w:line="274" w:lineRule="exact"/>
              <w:ind w:left="107"/>
              <w:rPr>
                <w:b/>
                <w:color w:val="F79546"/>
                <w:sz w:val="24"/>
              </w:rPr>
            </w:pPr>
            <w:r>
              <w:rPr>
                <w:b/>
                <w:color w:val="F79546"/>
                <w:sz w:val="24"/>
              </w:rPr>
              <w:t>3.</w:t>
            </w:r>
            <w:r>
              <w:rPr>
                <w:b/>
                <w:color w:val="F79546"/>
                <w:sz w:val="24"/>
              </w:rPr>
              <w:tab/>
              <w:t>Outcomes</w:t>
            </w:r>
          </w:p>
        </w:tc>
      </w:tr>
      <w:tr w:rsidR="00942B69" w14:paraId="22E5D460" w14:textId="77777777" w:rsidTr="00942B69">
        <w:trPr>
          <w:trHeight w:val="862"/>
        </w:trPr>
        <w:tc>
          <w:tcPr>
            <w:tcW w:w="9262" w:type="dxa"/>
            <w:tcBorders>
              <w:top w:val="single" w:sz="4" w:space="0" w:color="000000"/>
              <w:left w:val="single" w:sz="4" w:space="0" w:color="000000"/>
              <w:bottom w:val="single" w:sz="4" w:space="0" w:color="000000"/>
              <w:right w:val="single" w:sz="4" w:space="0" w:color="000000"/>
            </w:tcBorders>
          </w:tcPr>
          <w:p w14:paraId="5CDE7394" w14:textId="77777777" w:rsidR="00942B69" w:rsidRDefault="00942B69">
            <w:pPr>
              <w:spacing w:line="300" w:lineRule="atLeast"/>
              <w:rPr>
                <w:rFonts w:ascii="Arial" w:eastAsia="Arial" w:hAnsi="Arial" w:cs="Arial"/>
              </w:rPr>
            </w:pPr>
            <w:r>
              <w:rPr>
                <w:rFonts w:ascii="Arial" w:eastAsia="Arial" w:hAnsi="Arial" w:cs="Arial"/>
              </w:rPr>
              <w:t xml:space="preserve">The specific outputs expected are: </w:t>
            </w:r>
          </w:p>
          <w:p w14:paraId="5D04CD1B" w14:textId="77777777" w:rsidR="00942B69" w:rsidRDefault="00942B69">
            <w:pPr>
              <w:spacing w:line="300" w:lineRule="atLeast"/>
              <w:rPr>
                <w:rFonts w:ascii="Arial" w:eastAsia="Arial" w:hAnsi="Arial" w:cs="Arial"/>
              </w:rPr>
            </w:pPr>
          </w:p>
          <w:p w14:paraId="1C3D6492" w14:textId="77777777" w:rsidR="00942B69" w:rsidRDefault="00942B69" w:rsidP="00942B69">
            <w:pPr>
              <w:pStyle w:val="ListParagraph"/>
              <w:numPr>
                <w:ilvl w:val="0"/>
                <w:numId w:val="11"/>
              </w:numPr>
              <w:spacing w:after="0" w:line="300" w:lineRule="atLeast"/>
              <w:rPr>
                <w:rStyle w:val="normaltextrun"/>
                <w:rFonts w:eastAsia="Times New Roman"/>
              </w:rPr>
            </w:pPr>
            <w:r>
              <w:rPr>
                <w:rStyle w:val="normaltextrun"/>
                <w:rFonts w:ascii="Arial" w:hAnsi="Arial" w:cs="Arial"/>
              </w:rPr>
              <w:t>75 individual clients per annum for the first year, increasing to 80 per annum thereafter</w:t>
            </w:r>
          </w:p>
          <w:p w14:paraId="7A47EDC2" w14:textId="77777777" w:rsidR="00942B69" w:rsidRDefault="00942B69" w:rsidP="00942B69">
            <w:pPr>
              <w:pStyle w:val="ListParagraph"/>
              <w:numPr>
                <w:ilvl w:val="0"/>
                <w:numId w:val="11"/>
              </w:numPr>
              <w:spacing w:after="0" w:line="300" w:lineRule="atLeast"/>
              <w:contextualSpacing w:val="0"/>
              <w:rPr>
                <w:rStyle w:val="normaltextrun"/>
                <w:rFonts w:ascii="Arial" w:hAnsi="Arial" w:cs="Arial"/>
              </w:rPr>
            </w:pPr>
            <w:r>
              <w:rPr>
                <w:rStyle w:val="normaltextrun"/>
                <w:rFonts w:ascii="Arial" w:hAnsi="Arial" w:cs="Arial"/>
              </w:rPr>
              <w:t>Numbers of new clients (those that have never accessed the service previously) reached will also be expected to increase on an annual basis (minimum 40% new client intake in year 2).</w:t>
            </w:r>
          </w:p>
          <w:p w14:paraId="34791893" w14:textId="77777777" w:rsidR="00942B69" w:rsidRDefault="00942B69" w:rsidP="00942B69">
            <w:pPr>
              <w:pStyle w:val="ListParagraph"/>
              <w:numPr>
                <w:ilvl w:val="0"/>
                <w:numId w:val="11"/>
              </w:numPr>
              <w:spacing w:after="0" w:line="300" w:lineRule="atLeast"/>
              <w:contextualSpacing w:val="0"/>
              <w:rPr>
                <w:rStyle w:val="normaltextrun"/>
                <w:rFonts w:ascii="Arial" w:hAnsi="Arial" w:cs="Arial"/>
              </w:rPr>
            </w:pPr>
            <w:r>
              <w:rPr>
                <w:rStyle w:val="normaltextrun"/>
                <w:rFonts w:ascii="Arial" w:hAnsi="Arial" w:cs="Arial"/>
              </w:rPr>
              <w:t>Minimum 2 self-advocacy support groups/ training/ activity per annum.</w:t>
            </w:r>
          </w:p>
          <w:p w14:paraId="24B084DD" w14:textId="77777777" w:rsidR="00942B69" w:rsidRDefault="00942B69">
            <w:pPr>
              <w:tabs>
                <w:tab w:val="left" w:pos="1312"/>
              </w:tabs>
            </w:pPr>
          </w:p>
        </w:tc>
      </w:tr>
    </w:tbl>
    <w:p w14:paraId="6611224B" w14:textId="77777777" w:rsidR="00942B69" w:rsidRDefault="00942B69" w:rsidP="00942B69">
      <w:pPr>
        <w:rPr>
          <w:rFonts w:ascii="Times New Roman" w:eastAsia="Times New Roman" w:hAnsi="Times New Roman" w:cs="Times New Roman"/>
          <w:sz w:val="24"/>
          <w:szCs w:val="24"/>
          <w:lang w:eastAsia="en-GB"/>
        </w:rPr>
      </w:pPr>
    </w:p>
    <w:p w14:paraId="67BF65C4" w14:textId="77777777" w:rsidR="00E46212" w:rsidRPr="00744403" w:rsidRDefault="00E46212" w:rsidP="00744403">
      <w:pPr>
        <w:rPr>
          <w:b/>
          <w:bCs/>
        </w:rPr>
      </w:pPr>
    </w:p>
    <w:sectPr w:rsidR="00E46212" w:rsidRPr="0074440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AD1D" w14:textId="77777777" w:rsidR="00400653" w:rsidRDefault="00400653" w:rsidP="00942B69">
      <w:pPr>
        <w:spacing w:after="0" w:line="240" w:lineRule="auto"/>
      </w:pPr>
      <w:r>
        <w:separator/>
      </w:r>
    </w:p>
  </w:endnote>
  <w:endnote w:type="continuationSeparator" w:id="0">
    <w:p w14:paraId="73DDE818" w14:textId="77777777" w:rsidR="00400653" w:rsidRDefault="00400653" w:rsidP="0094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8A45" w14:textId="77777777" w:rsidR="00400653" w:rsidRDefault="00400653" w:rsidP="00942B69">
      <w:pPr>
        <w:spacing w:after="0" w:line="240" w:lineRule="auto"/>
      </w:pPr>
      <w:r>
        <w:separator/>
      </w:r>
    </w:p>
  </w:footnote>
  <w:footnote w:type="continuationSeparator" w:id="0">
    <w:p w14:paraId="26EED526" w14:textId="77777777" w:rsidR="00400653" w:rsidRDefault="00400653" w:rsidP="00942B69">
      <w:pPr>
        <w:spacing w:after="0" w:line="240" w:lineRule="auto"/>
      </w:pPr>
      <w:r>
        <w:continuationSeparator/>
      </w:r>
    </w:p>
  </w:footnote>
  <w:footnote w:id="1">
    <w:p w14:paraId="3A5D72A9" w14:textId="77777777" w:rsidR="00942B69" w:rsidRDefault="00942B69" w:rsidP="00942B69">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Fenton K, Pawson E, de Souza-Thomas L.  (2020) Beyond the data: Understanding the impact of COVID-19 on BAME groups. Public Health England. </w:t>
      </w:r>
    </w:p>
    <w:p w14:paraId="2E0487F3" w14:textId="77777777" w:rsidR="00942B69" w:rsidRDefault="00400653" w:rsidP="00942B69">
      <w:pPr>
        <w:pStyle w:val="FootnoteText"/>
        <w:rPr>
          <w:rFonts w:asciiTheme="minorHAnsi" w:hAnsiTheme="minorHAnsi" w:cstheme="minorHAnsi"/>
          <w:color w:val="0054FD"/>
          <w:sz w:val="22"/>
          <w:szCs w:val="22"/>
        </w:rPr>
      </w:pPr>
      <w:hyperlink r:id="rId1" w:history="1">
        <w:r w:rsidR="00942B69">
          <w:rPr>
            <w:rStyle w:val="Hyperlink"/>
            <w:rFonts w:asciiTheme="minorHAnsi" w:hAnsiTheme="minorHAnsi" w:cstheme="minorHAnsi"/>
            <w:color w:val="1E1FC4"/>
            <w:sz w:val="22"/>
            <w:szCs w:val="22"/>
          </w:rPr>
          <w:t>https://assets.publishing.service.gov.uk/government/uploads/system/uploads/attachment_data/file/892376/COVID_stakeholder_engagement_synthesis_beyond_the_data.pdf</w:t>
        </w:r>
      </w:hyperlink>
    </w:p>
  </w:footnote>
  <w:footnote w:id="2">
    <w:p w14:paraId="7EE044D9" w14:textId="77777777" w:rsidR="00942B69" w:rsidRDefault="00942B69" w:rsidP="00942B69">
      <w:pPr>
        <w:pStyle w:val="TableParagraph"/>
        <w:spacing w:before="171"/>
        <w:ind w:left="0" w:right="125"/>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Mind (2020) The mental health emergency: how has the coronavirus pandemic impacted our mental health? </w:t>
      </w:r>
    </w:p>
    <w:p w14:paraId="7CBE3549" w14:textId="77777777" w:rsidR="00942B69" w:rsidRDefault="00942B69" w:rsidP="00942B69">
      <w:pPr>
        <w:pStyle w:val="FootnoteText"/>
        <w:rPr>
          <w:rFonts w:asciiTheme="minorHAnsi" w:hAnsiTheme="minorHAnsi" w:cstheme="minorHAnsi"/>
          <w:color w:val="1E1FC4"/>
          <w:sz w:val="22"/>
          <w:szCs w:val="22"/>
        </w:rPr>
      </w:pPr>
      <w:r>
        <w:rPr>
          <w:rFonts w:asciiTheme="minorHAnsi" w:hAnsiTheme="minorHAnsi" w:cstheme="minorHAnsi"/>
          <w:color w:val="1E1FC4"/>
          <w:sz w:val="22"/>
          <w:szCs w:val="22"/>
        </w:rPr>
        <w:t xml:space="preserve"> </w:t>
      </w:r>
      <w:hyperlink r:id="rId2" w:history="1">
        <w:r>
          <w:rPr>
            <w:rStyle w:val="Hyperlink"/>
            <w:rFonts w:asciiTheme="minorHAnsi" w:hAnsiTheme="minorHAnsi" w:cstheme="minorHAnsi"/>
            <w:color w:val="1E1FC4"/>
            <w:sz w:val="22"/>
            <w:szCs w:val="22"/>
          </w:rPr>
          <w:t>https://www.mind.org.uk/media-a/5929/the-mental-health-emergency_a4_final.pdf</w:t>
        </w:r>
      </w:hyperlink>
    </w:p>
    <w:p w14:paraId="280F267C" w14:textId="77777777" w:rsidR="00942B69" w:rsidRDefault="00942B69" w:rsidP="00942B69">
      <w:pPr>
        <w:pStyle w:val="FootnoteText"/>
      </w:pPr>
    </w:p>
  </w:footnote>
  <w:footnote w:id="3">
    <w:p w14:paraId="68442B5A" w14:textId="77777777" w:rsidR="00942B69" w:rsidRDefault="00942B69" w:rsidP="00942B69">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Bhui, K. (Ed.). (2002). Racism and mental health: Prejudice and suffering. Jessica Kingsley Publishers.</w:t>
      </w:r>
    </w:p>
  </w:footnote>
  <w:footnote w:id="4">
    <w:p w14:paraId="1A400067" w14:textId="77777777" w:rsidR="00942B69" w:rsidRDefault="00942B69" w:rsidP="00942B69">
      <w:pPr>
        <w:pStyle w:val="FootnoteText"/>
        <w:rPr>
          <w:rFonts w:asciiTheme="minorHAnsi" w:hAnsiTheme="minorHAnsi" w:cstheme="minorHAnsi"/>
          <w:b/>
          <w:bCs/>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Ethnicity: An Agenda for Mental Health Edited by D. Bhugra and V. Bahl. 1999. London: Gaskell. 262 pp.</w:t>
      </w:r>
    </w:p>
  </w:footnote>
  <w:footnote w:id="5">
    <w:p w14:paraId="245C27B1" w14:textId="77777777" w:rsidR="00942B69" w:rsidRDefault="00942B69" w:rsidP="00942B69">
      <w:pPr>
        <w:pStyle w:val="FootnoteText"/>
        <w:rPr>
          <w:rFonts w:asciiTheme="minorHAnsi" w:hAnsiTheme="minorHAnsi" w:cstheme="minorHAnsi"/>
          <w:sz w:val="22"/>
          <w:szCs w:val="22"/>
          <w:lang w:val="en-US"/>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w:t>
      </w:r>
      <w:r>
        <w:rPr>
          <w:rFonts w:asciiTheme="minorHAnsi" w:hAnsiTheme="minorHAnsi" w:cstheme="minorHAnsi"/>
          <w:sz w:val="22"/>
          <w:szCs w:val="22"/>
          <w:lang w:val="en-US"/>
        </w:rPr>
        <w:t>Breaking the Circles of Fear: A review of the relationship between mental health services and African and Caribbean communities | The Sainsbury Centre for Mental Health 2002.</w:t>
      </w:r>
    </w:p>
    <w:p w14:paraId="7E6B7495" w14:textId="77777777" w:rsidR="00942B69" w:rsidRDefault="00400653" w:rsidP="00942B69">
      <w:pPr>
        <w:pStyle w:val="FootnoteText"/>
        <w:rPr>
          <w:rFonts w:asciiTheme="minorHAnsi" w:hAnsiTheme="minorHAnsi" w:cstheme="minorHAnsi"/>
          <w:color w:val="1E1FC4"/>
          <w:sz w:val="22"/>
          <w:szCs w:val="22"/>
        </w:rPr>
      </w:pPr>
      <w:hyperlink r:id="rId3" w:history="1">
        <w:r w:rsidR="00942B69">
          <w:rPr>
            <w:rStyle w:val="Hyperlink"/>
            <w:rFonts w:asciiTheme="minorHAnsi" w:hAnsiTheme="minorHAnsi" w:cstheme="minorHAnsi"/>
            <w:color w:val="1E1FC4"/>
            <w:sz w:val="22"/>
            <w:szCs w:val="22"/>
          </w:rPr>
          <w:t>https://www.centreformentalhealth.org.uk/sites/default/files/breaking_the_circles_of_fear.pdf</w:t>
        </w:r>
      </w:hyperlink>
    </w:p>
  </w:footnote>
  <w:footnote w:id="6">
    <w:p w14:paraId="7B647CAC" w14:textId="77777777" w:rsidR="00942B69" w:rsidRDefault="00942B69" w:rsidP="00942B69">
      <w:pPr>
        <w:pStyle w:val="FootnoteText"/>
        <w:rPr>
          <w:rFonts w:asciiTheme="minorHAnsi" w:hAnsiTheme="minorHAnsi" w:cstheme="minorHAnsi"/>
          <w:color w:val="292425"/>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NIMHE (2003) </w:t>
      </w:r>
      <w:r>
        <w:rPr>
          <w:rFonts w:asciiTheme="minorHAnsi" w:hAnsiTheme="minorHAnsi" w:cstheme="minorHAnsi"/>
          <w:color w:val="292425"/>
          <w:sz w:val="22"/>
          <w:szCs w:val="22"/>
        </w:rPr>
        <w:t>Inside Outside – Improving Mental Health Services for Black and Minority Ethnic Communities in England, (Dept of Health)</w:t>
      </w:r>
    </w:p>
    <w:p w14:paraId="590FDF20" w14:textId="77777777" w:rsidR="00942B69" w:rsidRDefault="00400653" w:rsidP="00942B69">
      <w:pPr>
        <w:pStyle w:val="FootnoteText"/>
        <w:rPr>
          <w:rFonts w:asciiTheme="minorHAnsi" w:hAnsiTheme="minorHAnsi" w:cstheme="minorHAnsi"/>
          <w:color w:val="1E1FC4"/>
          <w:sz w:val="22"/>
          <w:szCs w:val="22"/>
        </w:rPr>
      </w:pPr>
      <w:hyperlink r:id="rId4" w:history="1">
        <w:r w:rsidR="00942B69">
          <w:rPr>
            <w:rStyle w:val="Hyperlink"/>
            <w:rFonts w:asciiTheme="minorHAnsi" w:hAnsiTheme="minorHAnsi" w:cstheme="minorHAnsi"/>
            <w:color w:val="1E1FC4"/>
            <w:sz w:val="22"/>
            <w:szCs w:val="22"/>
          </w:rPr>
          <w:t>https://www.diversecymru.org.uk/wp-content/uploads/inside_outside.pdf</w:t>
        </w:r>
      </w:hyperlink>
    </w:p>
  </w:footnote>
  <w:footnote w:id="7">
    <w:p w14:paraId="50EFA637" w14:textId="77777777" w:rsidR="00942B69" w:rsidRDefault="00942B69" w:rsidP="00942B69">
      <w:pPr>
        <w:pStyle w:val="FootnoteText"/>
        <w:rPr>
          <w:rFonts w:asciiTheme="minorHAnsi" w:hAnsiTheme="minorHAnsi" w:cstheme="minorHAnsi"/>
          <w:color w:val="1E1FC4"/>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w:t>
      </w:r>
      <w:r>
        <w:rPr>
          <w:rFonts w:asciiTheme="minorHAnsi" w:hAnsiTheme="minorHAnsi" w:cstheme="minorHAnsi"/>
          <w:color w:val="000000" w:themeColor="text1"/>
          <w:sz w:val="22"/>
          <w:szCs w:val="22"/>
        </w:rPr>
        <w:t>Mental Health Foundation Black and Minority Ethnic Communities</w:t>
      </w:r>
    </w:p>
    <w:p w14:paraId="14C872C9" w14:textId="77777777" w:rsidR="00942B69" w:rsidRDefault="00400653" w:rsidP="00942B69">
      <w:pPr>
        <w:pStyle w:val="FootnoteText"/>
        <w:rPr>
          <w:rFonts w:asciiTheme="minorHAnsi" w:hAnsiTheme="minorHAnsi" w:cstheme="minorHAnsi"/>
          <w:color w:val="1E1FC4"/>
          <w:sz w:val="22"/>
          <w:szCs w:val="22"/>
        </w:rPr>
      </w:pPr>
      <w:hyperlink r:id="rId5" w:history="1">
        <w:r w:rsidR="00942B69">
          <w:rPr>
            <w:rStyle w:val="Hyperlink"/>
            <w:rFonts w:asciiTheme="minorHAnsi" w:hAnsiTheme="minorHAnsi" w:cstheme="minorHAnsi"/>
            <w:color w:val="1E1FC4"/>
            <w:sz w:val="22"/>
            <w:szCs w:val="22"/>
          </w:rPr>
          <w:t>http://www.mentalhealth.org.uk/help- information/mental-health-a-z/B/BME-communities/</w:t>
        </w:r>
      </w:hyperlink>
    </w:p>
  </w:footnote>
  <w:footnote w:id="8">
    <w:p w14:paraId="68E84496" w14:textId="77777777" w:rsidR="00942B69" w:rsidRDefault="00942B69" w:rsidP="00942B69">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MIND (2013) Mental health crisis care: commissioning excellence for BME group. </w:t>
      </w:r>
      <w:hyperlink r:id="rId6" w:history="1">
        <w:r>
          <w:rPr>
            <w:rStyle w:val="Hyperlink"/>
            <w:rFonts w:asciiTheme="minorHAnsi" w:hAnsiTheme="minorHAnsi" w:cstheme="minorHAnsi"/>
            <w:color w:val="0000FF"/>
            <w:sz w:val="22"/>
            <w:szCs w:val="22"/>
          </w:rPr>
          <w:t>http://www.mind.org.uk/media/494422/bme-commissioning-excellence-briefing.pdf</w:t>
        </w:r>
      </w:hyperlink>
    </w:p>
  </w:footnote>
  <w:footnote w:id="9">
    <w:p w14:paraId="319C17D8" w14:textId="77777777" w:rsidR="00942B69" w:rsidRDefault="00942B69" w:rsidP="00942B69">
      <w:pPr>
        <w:pStyle w:val="FootnoteText"/>
        <w:rPr>
          <w:rFonts w:asciiTheme="minorHAnsi" w:hAnsiTheme="minorHAnsi" w:cstheme="minorHAnsi"/>
          <w:sz w:val="22"/>
          <w:szCs w:val="22"/>
        </w:rPr>
      </w:pPr>
      <w:r>
        <w:rPr>
          <w:rStyle w:val="FootnoteReference"/>
          <w:rFonts w:asciiTheme="minorHAnsi" w:hAnsiTheme="minorHAnsi" w:cstheme="minorHAnsi"/>
          <w:sz w:val="22"/>
          <w:szCs w:val="22"/>
        </w:rPr>
        <w:footnoteRef/>
      </w:r>
      <w:r>
        <w:rPr>
          <w:rFonts w:asciiTheme="minorHAnsi" w:hAnsiTheme="minorHAnsi" w:cstheme="minorHAnsi"/>
          <w:sz w:val="22"/>
          <w:szCs w:val="22"/>
        </w:rPr>
        <w:t xml:space="preserve"> Monitoring the Mental Health Act in 2017/18 | Care Quality Commission (CQC)</w:t>
      </w:r>
    </w:p>
    <w:p w14:paraId="4C4B7BC8" w14:textId="77777777" w:rsidR="00942B69" w:rsidRDefault="00400653" w:rsidP="00942B69">
      <w:pPr>
        <w:pStyle w:val="FootnoteText"/>
        <w:rPr>
          <w:rFonts w:asciiTheme="minorHAnsi" w:hAnsiTheme="minorHAnsi" w:cstheme="minorHAnsi"/>
          <w:sz w:val="22"/>
          <w:szCs w:val="22"/>
        </w:rPr>
      </w:pPr>
      <w:hyperlink r:id="rId7" w:history="1">
        <w:r w:rsidR="00942B69">
          <w:rPr>
            <w:rStyle w:val="Hyperlink"/>
            <w:rFonts w:asciiTheme="minorHAnsi" w:hAnsiTheme="minorHAnsi" w:cstheme="minorHAnsi"/>
            <w:color w:val="0000FF"/>
            <w:sz w:val="22"/>
            <w:szCs w:val="22"/>
          </w:rPr>
          <w:t>http://www.cqc.org.uk/sites/default/files/media/documents/cqc_mha_report_2011_main_final.pdf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CB7"/>
    <w:multiLevelType w:val="hybridMultilevel"/>
    <w:tmpl w:val="25E654B8"/>
    <w:lvl w:ilvl="0" w:tplc="7352A5A4">
      <w:start w:val="1"/>
      <w:numFmt w:val="upp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240859"/>
    <w:multiLevelType w:val="hybridMultilevel"/>
    <w:tmpl w:val="FFFFFFFF"/>
    <w:lvl w:ilvl="0" w:tplc="CFEC389A">
      <w:start w:val="1"/>
      <w:numFmt w:val="decimal"/>
      <w:lvlText w:val="%1."/>
      <w:lvlJc w:val="left"/>
      <w:pPr>
        <w:ind w:left="720" w:hanging="360"/>
      </w:pPr>
    </w:lvl>
    <w:lvl w:ilvl="1" w:tplc="D312EB04">
      <w:start w:val="1"/>
      <w:numFmt w:val="lowerLetter"/>
      <w:lvlText w:val="%2."/>
      <w:lvlJc w:val="left"/>
      <w:pPr>
        <w:ind w:left="1440" w:hanging="360"/>
      </w:pPr>
    </w:lvl>
    <w:lvl w:ilvl="2" w:tplc="AFF24D24">
      <w:start w:val="1"/>
      <w:numFmt w:val="lowerRoman"/>
      <w:lvlText w:val="%3."/>
      <w:lvlJc w:val="right"/>
      <w:pPr>
        <w:ind w:left="2160" w:hanging="180"/>
      </w:pPr>
    </w:lvl>
    <w:lvl w:ilvl="3" w:tplc="CCA69BBA">
      <w:start w:val="1"/>
      <w:numFmt w:val="decimal"/>
      <w:lvlText w:val="%4."/>
      <w:lvlJc w:val="left"/>
      <w:pPr>
        <w:ind w:left="2880" w:hanging="360"/>
      </w:pPr>
    </w:lvl>
    <w:lvl w:ilvl="4" w:tplc="CE1C7F54">
      <w:start w:val="1"/>
      <w:numFmt w:val="lowerLetter"/>
      <w:lvlText w:val="%5."/>
      <w:lvlJc w:val="left"/>
      <w:pPr>
        <w:ind w:left="3600" w:hanging="360"/>
      </w:pPr>
    </w:lvl>
    <w:lvl w:ilvl="5" w:tplc="620AA9F0">
      <w:start w:val="1"/>
      <w:numFmt w:val="lowerRoman"/>
      <w:lvlText w:val="%6."/>
      <w:lvlJc w:val="right"/>
      <w:pPr>
        <w:ind w:left="4320" w:hanging="180"/>
      </w:pPr>
    </w:lvl>
    <w:lvl w:ilvl="6" w:tplc="CE38CA68">
      <w:start w:val="1"/>
      <w:numFmt w:val="decimal"/>
      <w:lvlText w:val="%7."/>
      <w:lvlJc w:val="left"/>
      <w:pPr>
        <w:ind w:left="5040" w:hanging="360"/>
      </w:pPr>
    </w:lvl>
    <w:lvl w:ilvl="7" w:tplc="95C08B56">
      <w:start w:val="1"/>
      <w:numFmt w:val="lowerLetter"/>
      <w:lvlText w:val="%8."/>
      <w:lvlJc w:val="left"/>
      <w:pPr>
        <w:ind w:left="5760" w:hanging="360"/>
      </w:pPr>
    </w:lvl>
    <w:lvl w:ilvl="8" w:tplc="C9CC2B28">
      <w:start w:val="1"/>
      <w:numFmt w:val="lowerRoman"/>
      <w:lvlText w:val="%9."/>
      <w:lvlJc w:val="right"/>
      <w:pPr>
        <w:ind w:left="6480" w:hanging="180"/>
      </w:pPr>
    </w:lvl>
  </w:abstractNum>
  <w:abstractNum w:abstractNumId="2" w15:restartNumberingAfterBreak="0">
    <w:nsid w:val="0F4A44A5"/>
    <w:multiLevelType w:val="hybridMultilevel"/>
    <w:tmpl w:val="FC3AF742"/>
    <w:lvl w:ilvl="0" w:tplc="FFFFFFFF">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C8A08C9"/>
    <w:multiLevelType w:val="hybridMultilevel"/>
    <w:tmpl w:val="848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15B59"/>
    <w:multiLevelType w:val="hybridMultilevel"/>
    <w:tmpl w:val="D2A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26BC2"/>
    <w:multiLevelType w:val="hybridMultilevel"/>
    <w:tmpl w:val="9E8CE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8B24A0"/>
    <w:multiLevelType w:val="hybridMultilevel"/>
    <w:tmpl w:val="AC280002"/>
    <w:lvl w:ilvl="0" w:tplc="A072AB80">
      <w:start w:val="1"/>
      <w:numFmt w:val="bullet"/>
      <w:lvlText w:val=""/>
      <w:lvlJc w:val="left"/>
      <w:pPr>
        <w:ind w:left="720" w:hanging="360"/>
      </w:pPr>
      <w:rPr>
        <w:rFonts w:ascii="Symbol" w:hAnsi="Symbol" w:hint="default"/>
      </w:rPr>
    </w:lvl>
    <w:lvl w:ilvl="1" w:tplc="FA845D3A">
      <w:start w:val="1"/>
      <w:numFmt w:val="bullet"/>
      <w:lvlText w:val="o"/>
      <w:lvlJc w:val="left"/>
      <w:pPr>
        <w:ind w:left="1440" w:hanging="360"/>
      </w:pPr>
      <w:rPr>
        <w:rFonts w:ascii="Courier New" w:hAnsi="Courier New" w:hint="default"/>
      </w:rPr>
    </w:lvl>
    <w:lvl w:ilvl="2" w:tplc="14DA4AB4">
      <w:start w:val="1"/>
      <w:numFmt w:val="bullet"/>
      <w:lvlText w:val=""/>
      <w:lvlJc w:val="left"/>
      <w:pPr>
        <w:ind w:left="2160" w:hanging="360"/>
      </w:pPr>
      <w:rPr>
        <w:rFonts w:ascii="Wingdings" w:hAnsi="Wingdings" w:hint="default"/>
      </w:rPr>
    </w:lvl>
    <w:lvl w:ilvl="3" w:tplc="5436053A">
      <w:start w:val="1"/>
      <w:numFmt w:val="bullet"/>
      <w:lvlText w:val=""/>
      <w:lvlJc w:val="left"/>
      <w:pPr>
        <w:ind w:left="2880" w:hanging="360"/>
      </w:pPr>
      <w:rPr>
        <w:rFonts w:ascii="Symbol" w:hAnsi="Symbol" w:hint="default"/>
      </w:rPr>
    </w:lvl>
    <w:lvl w:ilvl="4" w:tplc="C7D49E38">
      <w:start w:val="1"/>
      <w:numFmt w:val="bullet"/>
      <w:lvlText w:val="o"/>
      <w:lvlJc w:val="left"/>
      <w:pPr>
        <w:ind w:left="3600" w:hanging="360"/>
      </w:pPr>
      <w:rPr>
        <w:rFonts w:ascii="Courier New" w:hAnsi="Courier New" w:hint="default"/>
      </w:rPr>
    </w:lvl>
    <w:lvl w:ilvl="5" w:tplc="5F4A0176">
      <w:start w:val="1"/>
      <w:numFmt w:val="bullet"/>
      <w:lvlText w:val=""/>
      <w:lvlJc w:val="left"/>
      <w:pPr>
        <w:ind w:left="4320" w:hanging="360"/>
      </w:pPr>
      <w:rPr>
        <w:rFonts w:ascii="Wingdings" w:hAnsi="Wingdings" w:hint="default"/>
      </w:rPr>
    </w:lvl>
    <w:lvl w:ilvl="6" w:tplc="7EB41D40">
      <w:start w:val="1"/>
      <w:numFmt w:val="bullet"/>
      <w:lvlText w:val=""/>
      <w:lvlJc w:val="left"/>
      <w:pPr>
        <w:ind w:left="5040" w:hanging="360"/>
      </w:pPr>
      <w:rPr>
        <w:rFonts w:ascii="Symbol" w:hAnsi="Symbol" w:hint="default"/>
      </w:rPr>
    </w:lvl>
    <w:lvl w:ilvl="7" w:tplc="7952C3F6">
      <w:start w:val="1"/>
      <w:numFmt w:val="bullet"/>
      <w:lvlText w:val="o"/>
      <w:lvlJc w:val="left"/>
      <w:pPr>
        <w:ind w:left="5760" w:hanging="360"/>
      </w:pPr>
      <w:rPr>
        <w:rFonts w:ascii="Courier New" w:hAnsi="Courier New" w:hint="default"/>
      </w:rPr>
    </w:lvl>
    <w:lvl w:ilvl="8" w:tplc="5FC468E6">
      <w:start w:val="1"/>
      <w:numFmt w:val="bullet"/>
      <w:lvlText w:val=""/>
      <w:lvlJc w:val="left"/>
      <w:pPr>
        <w:ind w:left="6480" w:hanging="360"/>
      </w:pPr>
      <w:rPr>
        <w:rFonts w:ascii="Wingdings" w:hAnsi="Wingdings" w:hint="default"/>
      </w:rPr>
    </w:lvl>
  </w:abstractNum>
  <w:abstractNum w:abstractNumId="7" w15:restartNumberingAfterBreak="0">
    <w:nsid w:val="579E11A0"/>
    <w:multiLevelType w:val="hybridMultilevel"/>
    <w:tmpl w:val="9894D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8" w15:restartNumberingAfterBreak="0">
    <w:nsid w:val="6A2C6B07"/>
    <w:multiLevelType w:val="multilevel"/>
    <w:tmpl w:val="749C03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3"/>
  </w:num>
  <w:num w:numId="3">
    <w:abstractNumId w:val="6"/>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8035C1"/>
    <w:rsid w:val="00006C78"/>
    <w:rsid w:val="000440F1"/>
    <w:rsid w:val="00053228"/>
    <w:rsid w:val="00077155"/>
    <w:rsid w:val="000C24EC"/>
    <w:rsid w:val="000D5190"/>
    <w:rsid w:val="000E3579"/>
    <w:rsid w:val="00102D32"/>
    <w:rsid w:val="0015321A"/>
    <w:rsid w:val="00170444"/>
    <w:rsid w:val="00172C8F"/>
    <w:rsid w:val="0019189F"/>
    <w:rsid w:val="00200724"/>
    <w:rsid w:val="0021199D"/>
    <w:rsid w:val="0023341C"/>
    <w:rsid w:val="00265E7E"/>
    <w:rsid w:val="002843B7"/>
    <w:rsid w:val="002B2595"/>
    <w:rsid w:val="002C20F4"/>
    <w:rsid w:val="002C4710"/>
    <w:rsid w:val="002C77ED"/>
    <w:rsid w:val="002E585C"/>
    <w:rsid w:val="00300268"/>
    <w:rsid w:val="00375986"/>
    <w:rsid w:val="003951B0"/>
    <w:rsid w:val="003B34E9"/>
    <w:rsid w:val="003D28E0"/>
    <w:rsid w:val="00400653"/>
    <w:rsid w:val="004175FC"/>
    <w:rsid w:val="004470EF"/>
    <w:rsid w:val="00457A68"/>
    <w:rsid w:val="004B743B"/>
    <w:rsid w:val="004F2031"/>
    <w:rsid w:val="0051286B"/>
    <w:rsid w:val="0054102F"/>
    <w:rsid w:val="00545B3E"/>
    <w:rsid w:val="0055062E"/>
    <w:rsid w:val="00563103"/>
    <w:rsid w:val="00574B1B"/>
    <w:rsid w:val="005751BC"/>
    <w:rsid w:val="00581CB1"/>
    <w:rsid w:val="00584C09"/>
    <w:rsid w:val="005A31BA"/>
    <w:rsid w:val="005B6EFB"/>
    <w:rsid w:val="005C4903"/>
    <w:rsid w:val="0063720B"/>
    <w:rsid w:val="0069025C"/>
    <w:rsid w:val="006A0C53"/>
    <w:rsid w:val="006B46DE"/>
    <w:rsid w:val="006B4FB5"/>
    <w:rsid w:val="006B57CD"/>
    <w:rsid w:val="006C604A"/>
    <w:rsid w:val="006D6182"/>
    <w:rsid w:val="006F1D27"/>
    <w:rsid w:val="00735322"/>
    <w:rsid w:val="00744403"/>
    <w:rsid w:val="00765515"/>
    <w:rsid w:val="007C4EA0"/>
    <w:rsid w:val="007E202A"/>
    <w:rsid w:val="007F1EFA"/>
    <w:rsid w:val="00801BD2"/>
    <w:rsid w:val="00816873"/>
    <w:rsid w:val="0082107B"/>
    <w:rsid w:val="0089091D"/>
    <w:rsid w:val="008C635A"/>
    <w:rsid w:val="008E1FD9"/>
    <w:rsid w:val="008F15F8"/>
    <w:rsid w:val="00936066"/>
    <w:rsid w:val="00937FA3"/>
    <w:rsid w:val="00942B69"/>
    <w:rsid w:val="00964BFD"/>
    <w:rsid w:val="009844EB"/>
    <w:rsid w:val="009B03F4"/>
    <w:rsid w:val="009D3AE9"/>
    <w:rsid w:val="009E4A1E"/>
    <w:rsid w:val="009F37AA"/>
    <w:rsid w:val="00A03B3C"/>
    <w:rsid w:val="00A2159A"/>
    <w:rsid w:val="00A72CBF"/>
    <w:rsid w:val="00A82380"/>
    <w:rsid w:val="00A905FE"/>
    <w:rsid w:val="00A9533B"/>
    <w:rsid w:val="00AC32C2"/>
    <w:rsid w:val="00B21AC2"/>
    <w:rsid w:val="00B50176"/>
    <w:rsid w:val="00BE58BE"/>
    <w:rsid w:val="00C00B3E"/>
    <w:rsid w:val="00C236DC"/>
    <w:rsid w:val="00C32120"/>
    <w:rsid w:val="00C925BA"/>
    <w:rsid w:val="00CA1B77"/>
    <w:rsid w:val="00CE1983"/>
    <w:rsid w:val="00CE5AF8"/>
    <w:rsid w:val="00D02CA2"/>
    <w:rsid w:val="00D11EB1"/>
    <w:rsid w:val="00D6049C"/>
    <w:rsid w:val="00D66528"/>
    <w:rsid w:val="00DA47A2"/>
    <w:rsid w:val="00DD252E"/>
    <w:rsid w:val="00DE54EE"/>
    <w:rsid w:val="00E22923"/>
    <w:rsid w:val="00E32989"/>
    <w:rsid w:val="00E46212"/>
    <w:rsid w:val="00E67DA0"/>
    <w:rsid w:val="00E76C49"/>
    <w:rsid w:val="00E83C88"/>
    <w:rsid w:val="00E84016"/>
    <w:rsid w:val="00EA7D59"/>
    <w:rsid w:val="00EB0BFF"/>
    <w:rsid w:val="00EF7E8F"/>
    <w:rsid w:val="00F07A46"/>
    <w:rsid w:val="00F42FAA"/>
    <w:rsid w:val="00F46D64"/>
    <w:rsid w:val="00F61E78"/>
    <w:rsid w:val="00F96D23"/>
    <w:rsid w:val="00FB747D"/>
    <w:rsid w:val="00FD53D1"/>
    <w:rsid w:val="00FF5144"/>
    <w:rsid w:val="02C26CF1"/>
    <w:rsid w:val="03043BB7"/>
    <w:rsid w:val="04DE129B"/>
    <w:rsid w:val="07495F41"/>
    <w:rsid w:val="078B2E07"/>
    <w:rsid w:val="0792E8BC"/>
    <w:rsid w:val="0C9C0E35"/>
    <w:rsid w:val="0E18F4BD"/>
    <w:rsid w:val="0F075ADB"/>
    <w:rsid w:val="100AC50E"/>
    <w:rsid w:val="104C93D4"/>
    <w:rsid w:val="1112C1CD"/>
    <w:rsid w:val="114FFE07"/>
    <w:rsid w:val="126B61A7"/>
    <w:rsid w:val="169D1E50"/>
    <w:rsid w:val="18BBEC23"/>
    <w:rsid w:val="190DF9A1"/>
    <w:rsid w:val="1AA2D996"/>
    <w:rsid w:val="1B614CDA"/>
    <w:rsid w:val="1BADFE7E"/>
    <w:rsid w:val="1CD678AD"/>
    <w:rsid w:val="1CF47D7B"/>
    <w:rsid w:val="1E1A27C3"/>
    <w:rsid w:val="1E6B58A2"/>
    <w:rsid w:val="20722D08"/>
    <w:rsid w:val="251118C5"/>
    <w:rsid w:val="2515AB51"/>
    <w:rsid w:val="25E45D4D"/>
    <w:rsid w:val="25FC898B"/>
    <w:rsid w:val="265651BE"/>
    <w:rsid w:val="28EE9BE6"/>
    <w:rsid w:val="28F5BF23"/>
    <w:rsid w:val="29CCC34C"/>
    <w:rsid w:val="2AE4FEC3"/>
    <w:rsid w:val="2CBED5A7"/>
    <w:rsid w:val="2E90F1D6"/>
    <w:rsid w:val="2F53F7A6"/>
    <w:rsid w:val="3172C579"/>
    <w:rsid w:val="31830431"/>
    <w:rsid w:val="328E2919"/>
    <w:rsid w:val="3290F5B5"/>
    <w:rsid w:val="3389D897"/>
    <w:rsid w:val="364EED70"/>
    <w:rsid w:val="375257A3"/>
    <w:rsid w:val="382D56E0"/>
    <w:rsid w:val="3855C1D6"/>
    <w:rsid w:val="388035C1"/>
    <w:rsid w:val="3DC7F21B"/>
    <w:rsid w:val="40A53332"/>
    <w:rsid w:val="40D230B4"/>
    <w:rsid w:val="40E701F8"/>
    <w:rsid w:val="42371DCF"/>
    <w:rsid w:val="449AAFC0"/>
    <w:rsid w:val="496698FF"/>
    <w:rsid w:val="4E2F5A15"/>
    <w:rsid w:val="4E3714CA"/>
    <w:rsid w:val="4F334B8C"/>
    <w:rsid w:val="5010EBAE"/>
    <w:rsid w:val="50DF9DAA"/>
    <w:rsid w:val="52EB049C"/>
    <w:rsid w:val="5350BE4D"/>
    <w:rsid w:val="55E03F20"/>
    <w:rsid w:val="58A769F8"/>
    <w:rsid w:val="5A4F3803"/>
    <w:rsid w:val="5AB93EEE"/>
    <w:rsid w:val="5B7F6CE7"/>
    <w:rsid w:val="5D5943CB"/>
    <w:rsid w:val="5E99EA38"/>
    <w:rsid w:val="5F40313E"/>
    <w:rsid w:val="60335CB9"/>
    <w:rsid w:val="60439B71"/>
    <w:rsid w:val="63F74939"/>
    <w:rsid w:val="642446BB"/>
    <w:rsid w:val="643917FF"/>
    <w:rsid w:val="650F84B0"/>
    <w:rsid w:val="653C8232"/>
    <w:rsid w:val="65C1DBB2"/>
    <w:rsid w:val="6612EEE3"/>
    <w:rsid w:val="69AEA33E"/>
    <w:rsid w:val="6BB9D75F"/>
    <w:rsid w:val="6C88895B"/>
    <w:rsid w:val="6CA8704E"/>
    <w:rsid w:val="6CB8AF06"/>
    <w:rsid w:val="6CFA7DCC"/>
    <w:rsid w:val="6F92C7F4"/>
    <w:rsid w:val="7181701C"/>
    <w:rsid w:val="71892AD1"/>
    <w:rsid w:val="71B195C7"/>
    <w:rsid w:val="735B4700"/>
    <w:rsid w:val="736301B5"/>
    <w:rsid w:val="737F8DAE"/>
    <w:rsid w:val="74A3A822"/>
    <w:rsid w:val="7827303F"/>
    <w:rsid w:val="79D0E178"/>
    <w:rsid w:val="7A42D5E9"/>
    <w:rsid w:val="7D3CA2F9"/>
    <w:rsid w:val="7DF683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8879"/>
  <w15:chartTrackingRefBased/>
  <w15:docId w15:val="{31FEC39C-5202-4021-ADFC-FE87AEA3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2B69"/>
    <w:pPr>
      <w:spacing w:after="0" w:line="660" w:lineRule="exact"/>
      <w:outlineLvl w:val="0"/>
    </w:pPr>
    <w:rPr>
      <w:rFonts w:ascii="Arial" w:eastAsia="Times New Roman"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pPr>
      <w:ind w:left="720"/>
      <w:contextualSpacing/>
    </w:pPr>
  </w:style>
  <w:style w:type="table" w:styleId="TableGrid">
    <w:name w:val="Table Grid"/>
    <w:basedOn w:val="TableNormal"/>
    <w:uiPriority w:val="39"/>
    <w:rsid w:val="000C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CA2"/>
    <w:rPr>
      <w:color w:val="0563C1" w:themeColor="hyperlink"/>
      <w:u w:val="single"/>
    </w:rPr>
  </w:style>
  <w:style w:type="character" w:styleId="UnresolvedMention">
    <w:name w:val="Unresolved Mention"/>
    <w:basedOn w:val="DefaultParagraphFont"/>
    <w:uiPriority w:val="99"/>
    <w:semiHidden/>
    <w:unhideWhenUsed/>
    <w:rsid w:val="00D02CA2"/>
    <w:rPr>
      <w:color w:val="605E5C"/>
      <w:shd w:val="clear" w:color="auto" w:fill="E1DFDD"/>
    </w:rPr>
  </w:style>
  <w:style w:type="character" w:styleId="CommentReference">
    <w:name w:val="annotation reference"/>
    <w:basedOn w:val="DefaultParagraphFont"/>
    <w:uiPriority w:val="99"/>
    <w:semiHidden/>
    <w:unhideWhenUsed/>
    <w:rsid w:val="00B50176"/>
    <w:rPr>
      <w:sz w:val="16"/>
      <w:szCs w:val="16"/>
    </w:rPr>
  </w:style>
  <w:style w:type="paragraph" w:styleId="CommentText">
    <w:name w:val="annotation text"/>
    <w:basedOn w:val="Normal"/>
    <w:link w:val="CommentTextChar"/>
    <w:uiPriority w:val="99"/>
    <w:semiHidden/>
    <w:unhideWhenUsed/>
    <w:rsid w:val="00B50176"/>
    <w:pPr>
      <w:spacing w:line="240" w:lineRule="auto"/>
    </w:pPr>
    <w:rPr>
      <w:sz w:val="20"/>
      <w:szCs w:val="20"/>
    </w:rPr>
  </w:style>
  <w:style w:type="character" w:customStyle="1" w:styleId="CommentTextChar">
    <w:name w:val="Comment Text Char"/>
    <w:basedOn w:val="DefaultParagraphFont"/>
    <w:link w:val="CommentText"/>
    <w:uiPriority w:val="99"/>
    <w:semiHidden/>
    <w:rsid w:val="00B50176"/>
    <w:rPr>
      <w:sz w:val="20"/>
      <w:szCs w:val="20"/>
    </w:rPr>
  </w:style>
  <w:style w:type="paragraph" w:styleId="CommentSubject">
    <w:name w:val="annotation subject"/>
    <w:basedOn w:val="CommentText"/>
    <w:next w:val="CommentText"/>
    <w:link w:val="CommentSubjectChar"/>
    <w:uiPriority w:val="99"/>
    <w:semiHidden/>
    <w:unhideWhenUsed/>
    <w:rsid w:val="00B50176"/>
    <w:rPr>
      <w:b/>
      <w:bCs/>
    </w:rPr>
  </w:style>
  <w:style w:type="character" w:customStyle="1" w:styleId="CommentSubjectChar">
    <w:name w:val="Comment Subject Char"/>
    <w:basedOn w:val="CommentTextChar"/>
    <w:link w:val="CommentSubject"/>
    <w:uiPriority w:val="99"/>
    <w:semiHidden/>
    <w:rsid w:val="00B50176"/>
    <w:rPr>
      <w:b/>
      <w:bCs/>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1"/>
    <w:qFormat/>
    <w:rsid w:val="00E46212"/>
  </w:style>
  <w:style w:type="character" w:customStyle="1" w:styleId="normaltextrun">
    <w:name w:val="normaltextrun"/>
    <w:basedOn w:val="DefaultParagraphFont"/>
    <w:rsid w:val="00F42FAA"/>
  </w:style>
  <w:style w:type="character" w:customStyle="1" w:styleId="Heading1Char">
    <w:name w:val="Heading 1 Char"/>
    <w:basedOn w:val="DefaultParagraphFont"/>
    <w:link w:val="Heading1"/>
    <w:rsid w:val="00942B69"/>
    <w:rPr>
      <w:rFonts w:ascii="Arial" w:eastAsia="Times New Roman" w:hAnsi="Arial" w:cs="Arial"/>
      <w:b/>
      <w:sz w:val="28"/>
      <w:szCs w:val="28"/>
    </w:rPr>
  </w:style>
  <w:style w:type="paragraph" w:styleId="FootnoteText">
    <w:name w:val="footnote text"/>
    <w:basedOn w:val="Normal"/>
    <w:link w:val="FootnoteTextChar"/>
    <w:uiPriority w:val="99"/>
    <w:semiHidden/>
    <w:unhideWhenUsed/>
    <w:rsid w:val="00942B69"/>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basedOn w:val="DefaultParagraphFont"/>
    <w:link w:val="FootnoteText"/>
    <w:uiPriority w:val="99"/>
    <w:semiHidden/>
    <w:rsid w:val="00942B69"/>
    <w:rPr>
      <w:rFonts w:ascii="Times New Roman" w:eastAsia="Times New Roman" w:hAnsi="Times New Roman" w:cs="Times New Roman"/>
      <w:sz w:val="20"/>
      <w:szCs w:val="24"/>
      <w:lang w:eastAsia="en-GB"/>
    </w:rPr>
  </w:style>
  <w:style w:type="paragraph" w:customStyle="1" w:styleId="TableParagraph">
    <w:name w:val="Table Paragraph"/>
    <w:basedOn w:val="Normal"/>
    <w:uiPriority w:val="1"/>
    <w:qFormat/>
    <w:rsid w:val="00942B69"/>
    <w:pPr>
      <w:widowControl w:val="0"/>
      <w:autoSpaceDE w:val="0"/>
      <w:autoSpaceDN w:val="0"/>
      <w:spacing w:after="0" w:line="240" w:lineRule="auto"/>
      <w:ind w:left="827"/>
    </w:pPr>
    <w:rPr>
      <w:rFonts w:ascii="Arial" w:eastAsia="Arial" w:hAnsi="Arial" w:cs="Arial"/>
    </w:rPr>
  </w:style>
  <w:style w:type="character" w:styleId="FootnoteReference">
    <w:name w:val="footnote reference"/>
    <w:basedOn w:val="DefaultParagraphFont"/>
    <w:uiPriority w:val="99"/>
    <w:semiHidden/>
    <w:unhideWhenUsed/>
    <w:rsid w:val="00942B69"/>
    <w:rPr>
      <w:vertAlign w:val="superscript"/>
    </w:rPr>
  </w:style>
  <w:style w:type="paragraph" w:styleId="NormalWeb">
    <w:name w:val="Normal (Web)"/>
    <w:basedOn w:val="Normal"/>
    <w:uiPriority w:val="99"/>
    <w:semiHidden/>
    <w:unhideWhenUsed/>
    <w:rsid w:val="006B4F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050">
      <w:bodyDiv w:val="1"/>
      <w:marLeft w:val="0"/>
      <w:marRight w:val="0"/>
      <w:marTop w:val="0"/>
      <w:marBottom w:val="0"/>
      <w:divBdr>
        <w:top w:val="none" w:sz="0" w:space="0" w:color="auto"/>
        <w:left w:val="none" w:sz="0" w:space="0" w:color="auto"/>
        <w:bottom w:val="none" w:sz="0" w:space="0" w:color="auto"/>
        <w:right w:val="none" w:sz="0" w:space="0" w:color="auto"/>
      </w:divBdr>
      <w:divsChild>
        <w:div w:id="1152214844">
          <w:marLeft w:val="0"/>
          <w:marRight w:val="0"/>
          <w:marTop w:val="0"/>
          <w:marBottom w:val="0"/>
          <w:divBdr>
            <w:top w:val="none" w:sz="0" w:space="0" w:color="auto"/>
            <w:left w:val="none" w:sz="0" w:space="0" w:color="auto"/>
            <w:bottom w:val="none" w:sz="0" w:space="0" w:color="auto"/>
            <w:right w:val="none" w:sz="0" w:space="0" w:color="auto"/>
          </w:divBdr>
        </w:div>
      </w:divsChild>
    </w:div>
    <w:div w:id="8462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dership@minde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entreformentalhealth.org.uk/sites/default/files/breaking_the_circles_of_fear.pdf" TargetMode="External"/><Relationship Id="rId7" Type="http://schemas.openxmlformats.org/officeDocument/2006/relationships/hyperlink" Target="http://www.cqc.org.uk/sites/default/files/media/documents/cqc_mha_report_2011_main_final.pdf" TargetMode="External"/><Relationship Id="rId2" Type="http://schemas.openxmlformats.org/officeDocument/2006/relationships/hyperlink" Target="https://www.mind.org.uk/media-a/5929/the-mental-health-emergency_a4_final.pdf" TargetMode="External"/><Relationship Id="rId1" Type="http://schemas.openxmlformats.org/officeDocument/2006/relationships/hyperlink" Target="https://assets.publishing.service.gov.uk/government/uploads/system/uploads/attachment_data/file/892376/COVID_stakeholder_engagement_synthesis_beyond_the_data.pdf" TargetMode="External"/><Relationship Id="rId6" Type="http://schemas.openxmlformats.org/officeDocument/2006/relationships/hyperlink" Target="http://www.mind.org.uk/media/494422/bme-commissioning-excellence-briefing.pdf" TargetMode="External"/><Relationship Id="rId5" Type="http://schemas.openxmlformats.org/officeDocument/2006/relationships/hyperlink" Target="http://www.mentalhealth.org.uk/help-%20information/mental-health-a-z/B/BME-communities/" TargetMode="External"/><Relationship Id="rId4" Type="http://schemas.openxmlformats.org/officeDocument/2006/relationships/hyperlink" Target="https://www.diversecymru.org.uk/wp-content/uploads/inside_outs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C9C7F6B34364CB2394F7017F0A3A9" ma:contentTypeVersion="13" ma:contentTypeDescription="Create a new document." ma:contentTypeScope="" ma:versionID="fdf47ab73d1141142ed43dfb9bd5aa55">
  <xsd:schema xmlns:xsd="http://www.w3.org/2001/XMLSchema" xmlns:xs="http://www.w3.org/2001/XMLSchema" xmlns:p="http://schemas.microsoft.com/office/2006/metadata/properties" xmlns:ns2="d3b52b09-6ad9-4afe-a4cc-d087493ff976" xmlns:ns3="b3493a0d-2a12-4ad7-adc6-569fa4b230c8" targetNamespace="http://schemas.microsoft.com/office/2006/metadata/properties" ma:root="true" ma:fieldsID="172b0d280fee911f7648a0f231b4d029" ns2:_="" ns3:_="">
    <xsd:import namespace="d3b52b09-6ad9-4afe-a4cc-d087493ff976"/>
    <xsd:import namespace="b3493a0d-2a12-4ad7-adc6-569fa4b230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52b09-6ad9-4afe-a4cc-d087493ff9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93a0d-2a12-4ad7-adc6-569fa4b230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8657-2340-49E5-981D-6441DF8D5366}">
  <ds:schemaRefs>
    <ds:schemaRef ds:uri="http://schemas.microsoft.com/sharepoint/v3/contenttype/forms"/>
  </ds:schemaRefs>
</ds:datastoreItem>
</file>

<file path=customXml/itemProps2.xml><?xml version="1.0" encoding="utf-8"?>
<ds:datastoreItem xmlns:ds="http://schemas.openxmlformats.org/officeDocument/2006/customXml" ds:itemID="{21938C21-8648-41E0-8F6D-D4003B1EE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C0188-1E32-4DB3-B72B-5D4240D1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52b09-6ad9-4afe-a4cc-d087493ff976"/>
    <ds:schemaRef ds:uri="b3493a0d-2a12-4ad7-adc6-569fa4b23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AC9EA-7B32-4524-83E9-713B6D4E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Tambourides</dc:creator>
  <cp:keywords/>
  <dc:description/>
  <cp:lastModifiedBy>Alex Tambourides</cp:lastModifiedBy>
  <cp:revision>5</cp:revision>
  <dcterms:created xsi:type="dcterms:W3CDTF">2021-08-25T08:45:00Z</dcterms:created>
  <dcterms:modified xsi:type="dcterms:W3CDTF">2021-08-25T08:47:00Z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0x0101002F3C9C7F6B34364CB2394F7017F0A3A9</vt:lpwstr>
  </property>
</Properties>
</file>